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BAE7D" w14:textId="5065AF3E" w:rsidR="00C461E4" w:rsidRPr="00C461E4" w:rsidRDefault="005B531E" w:rsidP="00C461E4">
      <w:pPr>
        <w:spacing w:after="0" w:line="240" w:lineRule="auto"/>
        <w:rPr>
          <w:rFonts w:cs="Arial"/>
          <w:b/>
          <w:bCs/>
          <w:i/>
          <w:iCs/>
          <w:color w:val="ED7D31" w:themeColor="accent2"/>
          <w:sz w:val="30"/>
          <w:szCs w:val="30"/>
        </w:rPr>
      </w:pPr>
      <w:r w:rsidRPr="00C461E4">
        <w:rPr>
          <w:noProof/>
          <w:sz w:val="30"/>
          <w:szCs w:val="30"/>
        </w:rPr>
        <w:drawing>
          <wp:anchor distT="0" distB="0" distL="114300" distR="114300" simplePos="0" relativeHeight="251498496" behindDoc="1" locked="0" layoutInCell="1" allowOverlap="1" wp14:anchorId="052015FA" wp14:editId="73187E7C">
            <wp:simplePos x="0" y="0"/>
            <wp:positionH relativeFrom="page">
              <wp:posOffset>0</wp:posOffset>
            </wp:positionH>
            <wp:positionV relativeFrom="paragraph">
              <wp:posOffset>-174625</wp:posOffset>
            </wp:positionV>
            <wp:extent cx="7770495" cy="1935480"/>
            <wp:effectExtent l="0" t="0" r="190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770495" cy="1935480"/>
                    </a:xfrm>
                    <a:prstGeom prst="rect">
                      <a:avLst/>
                    </a:prstGeom>
                  </pic:spPr>
                </pic:pic>
              </a:graphicData>
            </a:graphic>
            <wp14:sizeRelH relativeFrom="page">
              <wp14:pctWidth>0</wp14:pctWidth>
            </wp14:sizeRelH>
            <wp14:sizeRelV relativeFrom="page">
              <wp14:pctHeight>0</wp14:pctHeight>
            </wp14:sizeRelV>
          </wp:anchor>
        </w:drawing>
      </w:r>
      <w:r w:rsidR="006E42F9">
        <w:rPr>
          <w:rFonts w:cs="Arial"/>
          <w:b/>
          <w:bCs/>
          <w:i/>
          <w:iCs/>
          <w:color w:val="ED7D31" w:themeColor="accent2"/>
          <w:sz w:val="30"/>
          <w:szCs w:val="30"/>
        </w:rPr>
        <w:t>A</w:t>
      </w:r>
      <w:r w:rsidR="00DB5EFC">
        <w:rPr>
          <w:rFonts w:cs="Arial"/>
          <w:b/>
          <w:bCs/>
          <w:i/>
          <w:iCs/>
          <w:color w:val="ED7D31" w:themeColor="accent2"/>
          <w:sz w:val="30"/>
          <w:szCs w:val="30"/>
        </w:rPr>
        <w:t>mericans for the Arts</w:t>
      </w:r>
      <w:r w:rsidR="006E42F9">
        <w:rPr>
          <w:rFonts w:cs="Arial"/>
          <w:b/>
          <w:bCs/>
          <w:i/>
          <w:iCs/>
          <w:color w:val="ED7D31" w:themeColor="accent2"/>
          <w:sz w:val="30"/>
          <w:szCs w:val="30"/>
        </w:rPr>
        <w:t xml:space="preserve"> – </w:t>
      </w:r>
      <w:r w:rsidR="003F48BF">
        <w:rPr>
          <w:rFonts w:cs="Arial"/>
          <w:b/>
          <w:bCs/>
          <w:i/>
          <w:iCs/>
          <w:color w:val="ED7D31" w:themeColor="accent2"/>
          <w:sz w:val="30"/>
          <w:szCs w:val="30"/>
        </w:rPr>
        <w:t>Cloud Migration &amp; Network Refresh</w:t>
      </w:r>
      <w:r w:rsidR="006E42F9">
        <w:rPr>
          <w:rFonts w:cs="Arial"/>
          <w:b/>
          <w:bCs/>
          <w:i/>
          <w:iCs/>
          <w:color w:val="ED7D31" w:themeColor="accent2"/>
          <w:sz w:val="30"/>
          <w:szCs w:val="30"/>
        </w:rPr>
        <w:t xml:space="preserve"> </w:t>
      </w:r>
    </w:p>
    <w:p w14:paraId="5083A0A0" w14:textId="56DD2545" w:rsidR="00C81EBB" w:rsidRPr="00C461E4" w:rsidRDefault="00C81EBB" w:rsidP="00C461E4">
      <w:pPr>
        <w:spacing w:after="0" w:line="240" w:lineRule="auto"/>
        <w:rPr>
          <w:rFonts w:cs="Arial"/>
          <w:b/>
          <w:bCs/>
          <w:i/>
          <w:iCs/>
          <w:color w:val="ED7D31" w:themeColor="accent2"/>
          <w:sz w:val="30"/>
          <w:szCs w:val="30"/>
        </w:rPr>
      </w:pPr>
      <w:r w:rsidRPr="00C461E4">
        <w:rPr>
          <w:rFonts w:cs="Arial"/>
          <w:b/>
          <w:bCs/>
          <w:i/>
          <w:iCs/>
          <w:color w:val="ED7D31" w:themeColor="accent2"/>
          <w:sz w:val="30"/>
          <w:szCs w:val="30"/>
        </w:rPr>
        <w:t>Case Study</w:t>
      </w:r>
    </w:p>
    <w:p w14:paraId="3E3A8DAA" w14:textId="31FA8013" w:rsidR="00E7042C" w:rsidRDefault="00C81EBB" w:rsidP="00C81EBB">
      <w:pPr>
        <w:tabs>
          <w:tab w:val="left" w:pos="687"/>
        </w:tabs>
      </w:pPr>
      <w:r>
        <w:tab/>
      </w:r>
    </w:p>
    <w:p w14:paraId="3423E928" w14:textId="7E6FD1B2" w:rsidR="00F7428D" w:rsidRPr="00F7428D" w:rsidRDefault="00F7428D" w:rsidP="00F7428D"/>
    <w:p w14:paraId="071AD89C" w14:textId="0745665F" w:rsidR="00F7428D" w:rsidRPr="00F7428D" w:rsidRDefault="00F7428D" w:rsidP="00F7428D"/>
    <w:p w14:paraId="60AB7439" w14:textId="6F6A485E" w:rsidR="00F7428D" w:rsidRPr="00F7428D" w:rsidRDefault="00F7428D" w:rsidP="00F7428D"/>
    <w:p w14:paraId="6EA10BF5" w14:textId="0C7385EE" w:rsidR="009A174F" w:rsidRDefault="009A174F" w:rsidP="00F7428D"/>
    <w:p w14:paraId="7C52139F" w14:textId="46E5B5E8" w:rsidR="00B003CE" w:rsidRPr="00B57770" w:rsidRDefault="00E26908" w:rsidP="00B003CE">
      <w:pPr>
        <w:spacing w:line="240" w:lineRule="auto"/>
        <w:rPr>
          <w:rFonts w:cs="Arial"/>
          <w:b/>
          <w:bCs/>
          <w:color w:val="ED7D31" w:themeColor="accent2"/>
          <w:sz w:val="24"/>
          <w:szCs w:val="24"/>
        </w:rPr>
      </w:pPr>
      <w:r>
        <w:rPr>
          <w:rFonts w:cs="Arial"/>
          <w:noProof/>
        </w:rPr>
        <w:drawing>
          <wp:anchor distT="0" distB="0" distL="114300" distR="114300" simplePos="0" relativeHeight="251824128" behindDoc="0" locked="0" layoutInCell="1" allowOverlap="1" wp14:anchorId="3A3353B7" wp14:editId="2501841A">
            <wp:simplePos x="0" y="0"/>
            <wp:positionH relativeFrom="margin">
              <wp:posOffset>40640</wp:posOffset>
            </wp:positionH>
            <wp:positionV relativeFrom="paragraph">
              <wp:posOffset>210185</wp:posOffset>
            </wp:positionV>
            <wp:extent cx="467360" cy="534035"/>
            <wp:effectExtent l="0" t="0" r="8890" b="0"/>
            <wp:wrapThrough wrapText="bothSides">
              <wp:wrapPolygon edited="0">
                <wp:start x="0" y="0"/>
                <wp:lineTo x="0" y="20804"/>
                <wp:lineTo x="21130" y="20804"/>
                <wp:lineTo x="21130" y="0"/>
                <wp:lineTo x="0" y="0"/>
              </wp:wrapPolygon>
            </wp:wrapThrough>
            <wp:docPr id="53" name="Picture 5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7360" cy="534035"/>
                    </a:xfrm>
                    <a:prstGeom prst="rect">
                      <a:avLst/>
                    </a:prstGeom>
                  </pic:spPr>
                </pic:pic>
              </a:graphicData>
            </a:graphic>
            <wp14:sizeRelH relativeFrom="margin">
              <wp14:pctWidth>0</wp14:pctWidth>
            </wp14:sizeRelH>
            <wp14:sizeRelV relativeFrom="margin">
              <wp14:pctHeight>0</wp14:pctHeight>
            </wp14:sizeRelV>
          </wp:anchor>
        </w:drawing>
      </w:r>
      <w:r w:rsidR="00231554">
        <w:rPr>
          <w:rFonts w:cs="Arial"/>
          <w:b/>
          <w:bCs/>
          <w:color w:val="ED7D31" w:themeColor="accent2"/>
        </w:rPr>
        <w:tab/>
      </w:r>
      <w:r w:rsidR="00231554">
        <w:rPr>
          <w:rFonts w:cs="Arial"/>
          <w:b/>
          <w:bCs/>
          <w:color w:val="ED7D31" w:themeColor="accent2"/>
        </w:rPr>
        <w:tab/>
      </w:r>
    </w:p>
    <w:p w14:paraId="0B657DE7" w14:textId="5DF47EEF" w:rsidR="00C461E4" w:rsidRPr="009B3AB3" w:rsidRDefault="00C461E4" w:rsidP="00C461E4">
      <w:pPr>
        <w:spacing w:line="240" w:lineRule="auto"/>
        <w:rPr>
          <w:rFonts w:cs="Arial"/>
          <w:b/>
          <w:bCs/>
          <w:color w:val="ED7D31" w:themeColor="accent2"/>
        </w:rPr>
      </w:pPr>
      <w:r w:rsidRPr="009B3AB3">
        <w:rPr>
          <w:rFonts w:cs="Arial"/>
          <w:b/>
          <w:bCs/>
          <w:color w:val="ED7D31" w:themeColor="accent2"/>
        </w:rPr>
        <w:t xml:space="preserve">About the </w:t>
      </w:r>
      <w:r w:rsidR="00E26908">
        <w:rPr>
          <w:rFonts w:cs="Arial"/>
          <w:b/>
          <w:bCs/>
          <w:color w:val="ED7D31" w:themeColor="accent2"/>
        </w:rPr>
        <w:t>Americans for the Arts</w:t>
      </w:r>
    </w:p>
    <w:p w14:paraId="68BE80B1" w14:textId="4ED276F5" w:rsidR="00EB28D9" w:rsidRPr="009B3AB3" w:rsidRDefault="00F9435D" w:rsidP="00B003CE">
      <w:pPr>
        <w:spacing w:line="240" w:lineRule="auto"/>
        <w:rPr>
          <w:rFonts w:cs="Arial"/>
          <w:sz w:val="20"/>
          <w:szCs w:val="20"/>
        </w:rPr>
      </w:pPr>
      <w:r w:rsidRPr="009B3AB3">
        <w:rPr>
          <w:rFonts w:cs="Arial"/>
          <w:sz w:val="20"/>
          <w:szCs w:val="20"/>
        </w:rPr>
        <w:t xml:space="preserve">The </w:t>
      </w:r>
      <w:r w:rsidR="00E26908">
        <w:rPr>
          <w:rFonts w:cs="Arial"/>
          <w:sz w:val="20"/>
          <w:szCs w:val="20"/>
        </w:rPr>
        <w:t>Americans for the Arts (AFTA)</w:t>
      </w:r>
      <w:r w:rsidR="00855294">
        <w:rPr>
          <w:rFonts w:cs="Arial"/>
          <w:sz w:val="20"/>
          <w:szCs w:val="20"/>
        </w:rPr>
        <w:t xml:space="preserve"> is the n</w:t>
      </w:r>
      <w:r w:rsidR="00855294" w:rsidRPr="00855294">
        <w:rPr>
          <w:rFonts w:cs="Arial"/>
          <w:sz w:val="20"/>
          <w:szCs w:val="20"/>
        </w:rPr>
        <w:t>ation's leading nonprofit organization for advancing the arts and arts education.</w:t>
      </w:r>
      <w:r w:rsidR="00855294">
        <w:rPr>
          <w:rFonts w:cs="Arial"/>
          <w:sz w:val="20"/>
          <w:szCs w:val="20"/>
        </w:rPr>
        <w:t xml:space="preserve"> Their mission is to</w:t>
      </w:r>
      <w:r w:rsidRPr="009B3AB3">
        <w:rPr>
          <w:rFonts w:cs="Arial"/>
          <w:sz w:val="20"/>
          <w:szCs w:val="20"/>
        </w:rPr>
        <w:t xml:space="preserve"> </w:t>
      </w:r>
      <w:r w:rsidR="00A04093" w:rsidRPr="00A04093">
        <w:rPr>
          <w:rFonts w:cs="Arial"/>
          <w:sz w:val="20"/>
          <w:szCs w:val="20"/>
        </w:rPr>
        <w:t>build recognition and support for the extraordinary and dynamic value of the arts and to lead, serve, and advance the diverse networks of organizations and individuals who cultivate the arts in America.</w:t>
      </w:r>
    </w:p>
    <w:p w14:paraId="429FDFB6" w14:textId="405DF32A" w:rsidR="00EE0ECD" w:rsidRDefault="00EE0ECD" w:rsidP="00B003CE">
      <w:pPr>
        <w:spacing w:line="240" w:lineRule="auto"/>
        <w:rPr>
          <w:rFonts w:cs="Arial"/>
          <w:b/>
          <w:bCs/>
          <w:color w:val="ED7D31" w:themeColor="accent2"/>
        </w:rPr>
      </w:pPr>
      <w:r w:rsidRPr="009B3AB3">
        <w:rPr>
          <w:rFonts w:cstheme="minorHAnsi"/>
          <w:noProof/>
          <w:color w:val="ED7D31" w:themeColor="accent2"/>
          <w:sz w:val="20"/>
          <w:szCs w:val="20"/>
        </w:rPr>
        <mc:AlternateContent>
          <mc:Choice Requires="wps">
            <w:drawing>
              <wp:anchor distT="0" distB="0" distL="114300" distR="114300" simplePos="0" relativeHeight="251525120" behindDoc="0" locked="0" layoutInCell="1" allowOverlap="1" wp14:anchorId="3D6143BE" wp14:editId="4C1BAD7A">
                <wp:simplePos x="0" y="0"/>
                <wp:positionH relativeFrom="margin">
                  <wp:posOffset>4578350</wp:posOffset>
                </wp:positionH>
                <wp:positionV relativeFrom="paragraph">
                  <wp:posOffset>209550</wp:posOffset>
                </wp:positionV>
                <wp:extent cx="2743200" cy="866775"/>
                <wp:effectExtent l="0" t="0" r="19050" b="28575"/>
                <wp:wrapSquare wrapText="bothSides"/>
                <wp:docPr id="7" name="Rectangle: Diagonal Corners Snipped 7"/>
                <wp:cNvGraphicFramePr/>
                <a:graphic xmlns:a="http://schemas.openxmlformats.org/drawingml/2006/main">
                  <a:graphicData uri="http://schemas.microsoft.com/office/word/2010/wordprocessingShape">
                    <wps:wsp>
                      <wps:cNvSpPr/>
                      <wps:spPr>
                        <a:xfrm>
                          <a:off x="0" y="0"/>
                          <a:ext cx="2743200" cy="866775"/>
                        </a:xfrm>
                        <a:prstGeom prst="snip2DiagRect">
                          <a:avLst/>
                        </a:prstGeom>
                        <a:gradFill flip="none" rotWithShape="1">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path path="circle">
                            <a:fillToRect t="100000" r="100000"/>
                          </a:path>
                          <a:tileRect l="-100000" b="-100000"/>
                        </a:gra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0EA187" w14:textId="131B6657" w:rsidR="00EB36B9" w:rsidRPr="009B3AB3" w:rsidRDefault="00AE4BE0" w:rsidP="00EB36B9">
                            <w:pPr>
                              <w:spacing w:after="0" w:line="240" w:lineRule="auto"/>
                              <w:rPr>
                                <w:color w:val="ED7D31" w:themeColor="accent2"/>
                                <w:sz w:val="20"/>
                                <w:szCs w:val="20"/>
                              </w:rPr>
                            </w:pPr>
                            <w:r w:rsidRPr="00AE4BE0">
                              <w:rPr>
                                <w:color w:val="ED7D31" w:themeColor="accent2"/>
                                <w:sz w:val="20"/>
                                <w:szCs w:val="20"/>
                              </w:rPr>
                              <w:t xml:space="preserve">AFTA was able to push additional efforts into </w:t>
                            </w:r>
                            <w:r w:rsidR="00484FF7">
                              <w:rPr>
                                <w:color w:val="ED7D31" w:themeColor="accent2"/>
                                <w:sz w:val="20"/>
                                <w:szCs w:val="20"/>
                              </w:rPr>
                              <w:t>their yearly roadmap due</w:t>
                            </w:r>
                            <w:r w:rsidR="00676AEA">
                              <w:rPr>
                                <w:color w:val="ED7D31" w:themeColor="accent2"/>
                                <w:sz w:val="20"/>
                                <w:szCs w:val="20"/>
                              </w:rPr>
                              <w:t xml:space="preserve"> to Pumex completing</w:t>
                            </w:r>
                            <w:r w:rsidR="00711EE5">
                              <w:rPr>
                                <w:color w:val="ED7D31" w:themeColor="accent2"/>
                                <w:sz w:val="20"/>
                                <w:szCs w:val="20"/>
                              </w:rPr>
                              <w:t xml:space="preserve"> </w:t>
                            </w:r>
                            <w:r w:rsidR="00484FF7">
                              <w:rPr>
                                <w:color w:val="ED7D31" w:themeColor="accent2"/>
                                <w:sz w:val="20"/>
                                <w:szCs w:val="20"/>
                              </w:rPr>
                              <w:t>these</w:t>
                            </w:r>
                            <w:r w:rsidR="00711EE5">
                              <w:rPr>
                                <w:color w:val="ED7D31" w:themeColor="accent2"/>
                                <w:sz w:val="20"/>
                                <w:szCs w:val="20"/>
                              </w:rPr>
                              <w:t xml:space="preserve"> project</w:t>
                            </w:r>
                            <w:r w:rsidR="00484FF7">
                              <w:rPr>
                                <w:color w:val="ED7D31" w:themeColor="accent2"/>
                                <w:sz w:val="20"/>
                                <w:szCs w:val="20"/>
                              </w:rPr>
                              <w:t xml:space="preserve">s </w:t>
                            </w:r>
                            <w:r w:rsidR="00711EE5">
                              <w:rPr>
                                <w:color w:val="ED7D31" w:themeColor="accent2"/>
                                <w:sz w:val="20"/>
                                <w:szCs w:val="20"/>
                              </w:rPr>
                              <w:t>si</w:t>
                            </w:r>
                            <w:r w:rsidR="00676AEA" w:rsidRPr="00AE4BE0">
                              <w:rPr>
                                <w:color w:val="ED7D31" w:themeColor="accent2"/>
                                <w:sz w:val="20"/>
                                <w:szCs w:val="20"/>
                              </w:rPr>
                              <w:t xml:space="preserve">gnificantly </w:t>
                            </w:r>
                            <w:r w:rsidR="00711EE5">
                              <w:rPr>
                                <w:color w:val="ED7D31" w:themeColor="accent2"/>
                                <w:sz w:val="20"/>
                                <w:szCs w:val="20"/>
                              </w:rPr>
                              <w:t>under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143BE" id="Rectangle: Diagonal Corners Snipped 7" o:spid="_x0000_s1026" style="position:absolute;margin-left:360.5pt;margin-top:16.5pt;width:3in;height:68.25pt;z-index:25152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743200,866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" adj="-11796480,,5400" path="m,l2598735,r144465,144465l2743200,866775r,l144465,866775,,722310,,xe" fillcolor="#2f5496 [2404]" strokecolor="#b4c6e7 [1300]" strokeweight="1pt">
                <v:fill color2="#2f5496 [2404]" rotate="t" focusposition=",1" focussize="" colors="0 #132c5a;.5 #204484;1 #28529e" focus="100%" type="gradientRadial"/>
                <v:stroke joinstyle="miter"/>
                <v:formulas/>
                <v:path arrowok="t" o:connecttype="custom" o:connectlocs="0,0;2598735,0;2743200,144465;2743200,866775;2743200,866775;144465,866775;0,722310;0,0" o:connectangles="0,0,0,0,0,0,0,0" textboxrect="0,0,2743200,866775"/>
                <v:textbox>
                  <w:txbxContent>
                    <w:p w14:paraId="4A0EA187" w14:textId="131B6657" w:rsidR="00EB36B9" w:rsidRPr="009B3AB3" w:rsidRDefault="00AE4BE0" w:rsidP="00EB36B9">
                      <w:pPr>
                        <w:spacing w:after="0" w:line="240" w:lineRule="auto"/>
                        <w:rPr>
                          <w:color w:val="ED7D31" w:themeColor="accent2"/>
                          <w:sz w:val="20"/>
                          <w:szCs w:val="20"/>
                        </w:rPr>
                      </w:pPr>
                      <w:r w:rsidRPr="00AE4BE0">
                        <w:rPr>
                          <w:color w:val="ED7D31" w:themeColor="accent2"/>
                          <w:sz w:val="20"/>
                          <w:szCs w:val="20"/>
                        </w:rPr>
                        <w:t xml:space="preserve">AFTA was able to push additional efforts into </w:t>
                      </w:r>
                      <w:r w:rsidR="00484FF7">
                        <w:rPr>
                          <w:color w:val="ED7D31" w:themeColor="accent2"/>
                          <w:sz w:val="20"/>
                          <w:szCs w:val="20"/>
                        </w:rPr>
                        <w:t>their yearly roadmap due</w:t>
                      </w:r>
                      <w:r w:rsidR="00676AEA">
                        <w:rPr>
                          <w:color w:val="ED7D31" w:themeColor="accent2"/>
                          <w:sz w:val="20"/>
                          <w:szCs w:val="20"/>
                        </w:rPr>
                        <w:t xml:space="preserve"> to Pumex completing</w:t>
                      </w:r>
                      <w:r w:rsidR="00711EE5">
                        <w:rPr>
                          <w:color w:val="ED7D31" w:themeColor="accent2"/>
                          <w:sz w:val="20"/>
                          <w:szCs w:val="20"/>
                        </w:rPr>
                        <w:t xml:space="preserve"> </w:t>
                      </w:r>
                      <w:r w:rsidR="00484FF7">
                        <w:rPr>
                          <w:color w:val="ED7D31" w:themeColor="accent2"/>
                          <w:sz w:val="20"/>
                          <w:szCs w:val="20"/>
                        </w:rPr>
                        <w:t>these</w:t>
                      </w:r>
                      <w:r w:rsidR="00711EE5">
                        <w:rPr>
                          <w:color w:val="ED7D31" w:themeColor="accent2"/>
                          <w:sz w:val="20"/>
                          <w:szCs w:val="20"/>
                        </w:rPr>
                        <w:t xml:space="preserve"> project</w:t>
                      </w:r>
                      <w:r w:rsidR="00484FF7">
                        <w:rPr>
                          <w:color w:val="ED7D31" w:themeColor="accent2"/>
                          <w:sz w:val="20"/>
                          <w:szCs w:val="20"/>
                        </w:rPr>
                        <w:t xml:space="preserve">s </w:t>
                      </w:r>
                      <w:r w:rsidR="00711EE5">
                        <w:rPr>
                          <w:color w:val="ED7D31" w:themeColor="accent2"/>
                          <w:sz w:val="20"/>
                          <w:szCs w:val="20"/>
                        </w:rPr>
                        <w:t>si</w:t>
                      </w:r>
                      <w:r w:rsidR="00676AEA" w:rsidRPr="00AE4BE0">
                        <w:rPr>
                          <w:color w:val="ED7D31" w:themeColor="accent2"/>
                          <w:sz w:val="20"/>
                          <w:szCs w:val="20"/>
                        </w:rPr>
                        <w:t xml:space="preserve">gnificantly </w:t>
                      </w:r>
                      <w:r w:rsidR="00711EE5">
                        <w:rPr>
                          <w:color w:val="ED7D31" w:themeColor="accent2"/>
                          <w:sz w:val="20"/>
                          <w:szCs w:val="20"/>
                        </w:rPr>
                        <w:t>under budget.</w:t>
                      </w:r>
                    </w:p>
                  </w:txbxContent>
                </v:textbox>
                <w10:wrap type="square" anchorx="margin"/>
              </v:shape>
            </w:pict>
          </mc:Fallback>
        </mc:AlternateContent>
      </w:r>
    </w:p>
    <w:p w14:paraId="77062950" w14:textId="2FE9822D" w:rsidR="00231554" w:rsidRPr="009B3AB3" w:rsidRDefault="00231554" w:rsidP="00B003CE">
      <w:pPr>
        <w:spacing w:line="240" w:lineRule="auto"/>
        <w:rPr>
          <w:rFonts w:cs="Arial"/>
          <w:b/>
          <w:bCs/>
          <w:color w:val="ED7D31" w:themeColor="accent2"/>
        </w:rPr>
      </w:pPr>
      <w:r w:rsidRPr="009B3AB3">
        <w:rPr>
          <w:rFonts w:cs="Arial"/>
          <w:b/>
          <w:bCs/>
          <w:color w:val="ED7D31" w:themeColor="accent2"/>
        </w:rPr>
        <w:t>Executive Summary</w:t>
      </w:r>
    </w:p>
    <w:p w14:paraId="157CB8DA" w14:textId="016F28A8" w:rsidR="00EE0ECD" w:rsidRPr="00661936" w:rsidRDefault="00263BF4" w:rsidP="00F74FC8">
      <w:pPr>
        <w:spacing w:line="240" w:lineRule="auto"/>
        <w:rPr>
          <w:rFonts w:cstheme="minorHAnsi"/>
          <w:sz w:val="20"/>
          <w:szCs w:val="20"/>
        </w:rPr>
      </w:pPr>
      <w:r>
        <w:rPr>
          <w:rFonts w:cstheme="minorHAnsi"/>
          <w:sz w:val="20"/>
          <w:szCs w:val="20"/>
        </w:rPr>
        <w:t>AFTA engaged Pumex</w:t>
      </w:r>
      <w:r w:rsidR="00F74FC8" w:rsidRPr="00661936">
        <w:rPr>
          <w:rFonts w:cstheme="minorHAnsi"/>
          <w:sz w:val="20"/>
          <w:szCs w:val="20"/>
        </w:rPr>
        <w:t xml:space="preserve"> </w:t>
      </w:r>
      <w:r w:rsidR="006E4274" w:rsidRPr="00661936">
        <w:rPr>
          <w:sz w:val="20"/>
          <w:szCs w:val="20"/>
        </w:rPr>
        <w:t xml:space="preserve">to </w:t>
      </w:r>
      <w:r w:rsidR="0028220B">
        <w:rPr>
          <w:sz w:val="20"/>
          <w:szCs w:val="20"/>
        </w:rPr>
        <w:t>provide</w:t>
      </w:r>
      <w:r w:rsidR="0034567D">
        <w:rPr>
          <w:sz w:val="20"/>
          <w:szCs w:val="20"/>
        </w:rPr>
        <w:t xml:space="preserve"> a</w:t>
      </w:r>
      <w:r w:rsidR="00452C8A">
        <w:rPr>
          <w:sz w:val="20"/>
          <w:szCs w:val="20"/>
        </w:rPr>
        <w:t xml:space="preserve"> cloud-based solution </w:t>
      </w:r>
      <w:r w:rsidR="00D64EF8">
        <w:rPr>
          <w:sz w:val="20"/>
          <w:szCs w:val="20"/>
        </w:rPr>
        <w:t xml:space="preserve">to support </w:t>
      </w:r>
      <w:r w:rsidR="00C11930">
        <w:rPr>
          <w:sz w:val="20"/>
          <w:szCs w:val="20"/>
        </w:rPr>
        <w:t xml:space="preserve">a </w:t>
      </w:r>
      <w:r w:rsidR="00D47628">
        <w:rPr>
          <w:sz w:val="20"/>
          <w:szCs w:val="20"/>
        </w:rPr>
        <w:t xml:space="preserve">large </w:t>
      </w:r>
      <w:r w:rsidR="00C11930">
        <w:rPr>
          <w:sz w:val="20"/>
          <w:szCs w:val="20"/>
        </w:rPr>
        <w:t>remote work environment</w:t>
      </w:r>
      <w:r w:rsidR="00552B73">
        <w:rPr>
          <w:sz w:val="20"/>
          <w:szCs w:val="20"/>
        </w:rPr>
        <w:t xml:space="preserve"> </w:t>
      </w:r>
      <w:r w:rsidR="00004602">
        <w:rPr>
          <w:sz w:val="20"/>
          <w:szCs w:val="20"/>
        </w:rPr>
        <w:t>due to the pandemic</w:t>
      </w:r>
      <w:r w:rsidR="00C11930">
        <w:rPr>
          <w:sz w:val="20"/>
          <w:szCs w:val="20"/>
        </w:rPr>
        <w:t>.</w:t>
      </w:r>
      <w:r w:rsidR="00186E18">
        <w:rPr>
          <w:sz w:val="20"/>
          <w:szCs w:val="20"/>
        </w:rPr>
        <w:t xml:space="preserve"> Pumex also </w:t>
      </w:r>
      <w:r w:rsidR="00A8710E">
        <w:rPr>
          <w:sz w:val="20"/>
          <w:szCs w:val="20"/>
        </w:rPr>
        <w:t xml:space="preserve">provided AFTA with a refresh of their </w:t>
      </w:r>
      <w:r w:rsidR="00E768CF">
        <w:rPr>
          <w:sz w:val="20"/>
          <w:szCs w:val="20"/>
        </w:rPr>
        <w:t xml:space="preserve">organization’s </w:t>
      </w:r>
      <w:r w:rsidR="00C03875">
        <w:rPr>
          <w:sz w:val="20"/>
          <w:szCs w:val="20"/>
        </w:rPr>
        <w:t>network infra</w:t>
      </w:r>
      <w:r w:rsidR="00DC1E2F">
        <w:rPr>
          <w:sz w:val="20"/>
          <w:szCs w:val="20"/>
        </w:rPr>
        <w:t>structure</w:t>
      </w:r>
      <w:r w:rsidR="005405D4">
        <w:rPr>
          <w:sz w:val="20"/>
          <w:szCs w:val="20"/>
        </w:rPr>
        <w:t xml:space="preserve"> in their DC and NYC offices</w:t>
      </w:r>
      <w:r w:rsidR="00E768CF">
        <w:rPr>
          <w:sz w:val="20"/>
          <w:szCs w:val="20"/>
        </w:rPr>
        <w:t>.</w:t>
      </w:r>
    </w:p>
    <w:p w14:paraId="3E4951DF" w14:textId="3E14D185" w:rsidR="00052706" w:rsidRDefault="00265D67" w:rsidP="006F4016">
      <w:pPr>
        <w:spacing w:after="0" w:line="240" w:lineRule="auto"/>
        <w:rPr>
          <w:b/>
          <w:bCs/>
          <w:color w:val="ED7D31" w:themeColor="accent2"/>
        </w:rPr>
      </w:pPr>
      <w:r w:rsidRPr="00C43CF9">
        <w:rPr>
          <w:rFonts w:cs="Arial"/>
          <w:b/>
          <w:bCs/>
          <w:i/>
          <w:iCs/>
          <w:noProof/>
        </w:rPr>
        <mc:AlternateContent>
          <mc:Choice Requires="wps">
            <w:drawing>
              <wp:anchor distT="45720" distB="45720" distL="114300" distR="114300" simplePos="0" relativeHeight="251743232" behindDoc="0" locked="0" layoutInCell="1" allowOverlap="1" wp14:anchorId="22F2F786" wp14:editId="72841982">
                <wp:simplePos x="0" y="0"/>
                <wp:positionH relativeFrom="page">
                  <wp:posOffset>3993515</wp:posOffset>
                </wp:positionH>
                <wp:positionV relativeFrom="paragraph">
                  <wp:posOffset>300990</wp:posOffset>
                </wp:positionV>
                <wp:extent cx="3778885" cy="181229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1812290"/>
                        </a:xfrm>
                        <a:prstGeom prst="rect">
                          <a:avLst/>
                        </a:prstGeom>
                        <a:solidFill>
                          <a:schemeClr val="bg1">
                            <a:lumMod val="95000"/>
                          </a:schemeClr>
                        </a:solidFill>
                        <a:ln w="9525">
                          <a:noFill/>
                          <a:miter lim="800000"/>
                          <a:headEnd/>
                          <a:tailEnd/>
                        </a:ln>
                      </wps:spPr>
                      <wps:txbx>
                        <w:txbxContent>
                          <w:p w14:paraId="51D7A003" w14:textId="7B95A33C" w:rsidR="00BE2AB7" w:rsidRPr="009B3AB3" w:rsidRDefault="00E002A6" w:rsidP="00BE2AB7">
                            <w:pPr>
                              <w:spacing w:after="0" w:line="240" w:lineRule="auto"/>
                              <w:rPr>
                                <w:b/>
                                <w:bCs/>
                                <w:color w:val="ED7D31" w:themeColor="accent2"/>
                              </w:rPr>
                            </w:pPr>
                            <w:r w:rsidRPr="009B3AB3">
                              <w:rPr>
                                <w:b/>
                                <w:bCs/>
                                <w:color w:val="ED7D31" w:themeColor="accent2"/>
                              </w:rPr>
                              <w:t>The Solution</w:t>
                            </w:r>
                          </w:p>
                          <w:p w14:paraId="62E1F507" w14:textId="54D8ED29" w:rsidR="00D955E3" w:rsidRPr="00075070" w:rsidRDefault="001B3C8A" w:rsidP="000B6A6F">
                            <w:pPr>
                              <w:spacing w:after="0" w:line="240" w:lineRule="auto"/>
                              <w:rPr>
                                <w:color w:val="ED7D31" w:themeColor="accent2"/>
                                <w:sz w:val="20"/>
                                <w:szCs w:val="20"/>
                              </w:rPr>
                            </w:pPr>
                            <w:r w:rsidRPr="00007E11">
                              <w:rPr>
                                <w:sz w:val="20"/>
                                <w:szCs w:val="20"/>
                              </w:rPr>
                              <w:t xml:space="preserve">Pumex </w:t>
                            </w:r>
                            <w:r w:rsidR="00A479A1">
                              <w:rPr>
                                <w:sz w:val="20"/>
                                <w:szCs w:val="20"/>
                              </w:rPr>
                              <w:t>performed a gap analysis</w:t>
                            </w:r>
                            <w:r w:rsidR="004E475E">
                              <w:rPr>
                                <w:sz w:val="20"/>
                                <w:szCs w:val="20"/>
                              </w:rPr>
                              <w:t xml:space="preserve"> of the </w:t>
                            </w:r>
                            <w:r w:rsidR="004E475E" w:rsidRPr="004E475E">
                              <w:rPr>
                                <w:sz w:val="20"/>
                                <w:szCs w:val="20"/>
                              </w:rPr>
                              <w:t>network, infrastructure</w:t>
                            </w:r>
                            <w:r w:rsidR="004E475E">
                              <w:rPr>
                                <w:sz w:val="20"/>
                                <w:szCs w:val="20"/>
                              </w:rPr>
                              <w:t>,</w:t>
                            </w:r>
                            <w:r w:rsidR="004E475E" w:rsidRPr="004E475E">
                              <w:rPr>
                                <w:sz w:val="20"/>
                                <w:szCs w:val="20"/>
                              </w:rPr>
                              <w:t xml:space="preserve"> and organizational technology goals.</w:t>
                            </w:r>
                            <w:r w:rsidR="006A29A7">
                              <w:rPr>
                                <w:sz w:val="20"/>
                                <w:szCs w:val="20"/>
                              </w:rPr>
                              <w:t xml:space="preserve"> </w:t>
                            </w:r>
                            <w:r w:rsidR="00BC6318">
                              <w:rPr>
                                <w:sz w:val="20"/>
                                <w:szCs w:val="20"/>
                              </w:rPr>
                              <w:t xml:space="preserve">Within </w:t>
                            </w:r>
                            <w:r w:rsidR="00AC622F">
                              <w:rPr>
                                <w:sz w:val="20"/>
                                <w:szCs w:val="20"/>
                              </w:rPr>
                              <w:t>45 days, Pumex</w:t>
                            </w:r>
                            <w:r w:rsidR="00AC622F" w:rsidRPr="00AC622F">
                              <w:rPr>
                                <w:sz w:val="20"/>
                                <w:szCs w:val="20"/>
                              </w:rPr>
                              <w:t xml:space="preserve"> migrate</w:t>
                            </w:r>
                            <w:r w:rsidR="00AC622F">
                              <w:rPr>
                                <w:sz w:val="20"/>
                                <w:szCs w:val="20"/>
                              </w:rPr>
                              <w:t>d</w:t>
                            </w:r>
                            <w:r w:rsidR="00AC622F" w:rsidRPr="00AC622F">
                              <w:rPr>
                                <w:sz w:val="20"/>
                                <w:szCs w:val="20"/>
                              </w:rPr>
                              <w:t xml:space="preserve"> </w:t>
                            </w:r>
                            <w:r w:rsidR="00B92D00" w:rsidRPr="00B92D00">
                              <w:rPr>
                                <w:sz w:val="20"/>
                                <w:szCs w:val="20"/>
                              </w:rPr>
                              <w:t xml:space="preserve">AFTA to a cloud-based file share solution, implemented a cloud based </w:t>
                            </w:r>
                            <w:proofErr w:type="spellStart"/>
                            <w:r w:rsidR="00B92D00" w:rsidRPr="00B92D00">
                              <w:rPr>
                                <w:sz w:val="20"/>
                                <w:szCs w:val="20"/>
                              </w:rPr>
                              <w:t>UCaaS</w:t>
                            </w:r>
                            <w:proofErr w:type="spellEnd"/>
                            <w:r w:rsidR="00B92D00" w:rsidRPr="00B92D00">
                              <w:rPr>
                                <w:sz w:val="20"/>
                                <w:szCs w:val="20"/>
                              </w:rPr>
                              <w:t xml:space="preserve"> solution, retired their legacy Cisco onsite phone platform,</w:t>
                            </w:r>
                            <w:r w:rsidR="00315B3C">
                              <w:rPr>
                                <w:sz w:val="20"/>
                                <w:szCs w:val="20"/>
                              </w:rPr>
                              <w:t xml:space="preserve"> and</w:t>
                            </w:r>
                            <w:r w:rsidR="00B92D00" w:rsidRPr="00B92D00">
                              <w:rPr>
                                <w:sz w:val="20"/>
                                <w:szCs w:val="20"/>
                              </w:rPr>
                              <w:t xml:space="preserve"> implemented a network and server monitoring solution.  </w:t>
                            </w:r>
                            <w:r w:rsidR="000A6C2F">
                              <w:rPr>
                                <w:sz w:val="20"/>
                                <w:szCs w:val="20"/>
                              </w:rPr>
                              <w:t xml:space="preserve">For their network infrastructure refresh, we </w:t>
                            </w:r>
                            <w:r w:rsidR="000A6C2F" w:rsidRPr="000A6C2F">
                              <w:rPr>
                                <w:sz w:val="20"/>
                                <w:szCs w:val="20"/>
                              </w:rPr>
                              <w:t>implement</w:t>
                            </w:r>
                            <w:r w:rsidR="000A6C2F">
                              <w:rPr>
                                <w:sz w:val="20"/>
                                <w:szCs w:val="20"/>
                              </w:rPr>
                              <w:t>ed</w:t>
                            </w:r>
                            <w:r w:rsidR="000A6C2F" w:rsidRPr="000A6C2F">
                              <w:rPr>
                                <w:sz w:val="20"/>
                                <w:szCs w:val="20"/>
                              </w:rPr>
                              <w:t xml:space="preserve"> </w:t>
                            </w:r>
                            <w:r w:rsidR="003365F0">
                              <w:rPr>
                                <w:sz w:val="20"/>
                                <w:szCs w:val="20"/>
                              </w:rPr>
                              <w:t xml:space="preserve">Cybersecurity best practices; </w:t>
                            </w:r>
                            <w:r w:rsidR="000A6C2F" w:rsidRPr="000A6C2F">
                              <w:rPr>
                                <w:sz w:val="20"/>
                                <w:szCs w:val="20"/>
                              </w:rPr>
                              <w:t>VLAN’s, clos</w:t>
                            </w:r>
                            <w:r w:rsidR="000A6C2F">
                              <w:rPr>
                                <w:sz w:val="20"/>
                                <w:szCs w:val="20"/>
                              </w:rPr>
                              <w:t xml:space="preserve">ed </w:t>
                            </w:r>
                            <w:r w:rsidR="000A6C2F" w:rsidRPr="000A6C2F">
                              <w:rPr>
                                <w:sz w:val="20"/>
                                <w:szCs w:val="20"/>
                              </w:rPr>
                              <w:t>unnecessary external ports, load balanc</w:t>
                            </w:r>
                            <w:r w:rsidR="000A6C2F">
                              <w:rPr>
                                <w:sz w:val="20"/>
                                <w:szCs w:val="20"/>
                              </w:rPr>
                              <w:t>ed</w:t>
                            </w:r>
                            <w:r w:rsidR="000A6C2F" w:rsidRPr="000A6C2F">
                              <w:rPr>
                                <w:sz w:val="20"/>
                                <w:szCs w:val="20"/>
                              </w:rPr>
                              <w:t xml:space="preserve"> their backup and primary ISP, and lever</w:t>
                            </w:r>
                            <w:r w:rsidR="009909E8">
                              <w:rPr>
                                <w:sz w:val="20"/>
                                <w:szCs w:val="20"/>
                              </w:rPr>
                              <w:t>ag</w:t>
                            </w:r>
                            <w:r w:rsidR="008C7807">
                              <w:rPr>
                                <w:sz w:val="20"/>
                                <w:szCs w:val="20"/>
                              </w:rPr>
                              <w:t>ed</w:t>
                            </w:r>
                            <w:r w:rsidR="009909E8">
                              <w:rPr>
                                <w:sz w:val="20"/>
                                <w:szCs w:val="20"/>
                              </w:rPr>
                              <w:t xml:space="preserve"> QoS traffic s</w:t>
                            </w:r>
                            <w:r w:rsidR="000A6C2F" w:rsidRPr="000A6C2F">
                              <w:rPr>
                                <w:sz w:val="20"/>
                                <w:szCs w:val="20"/>
                              </w:rPr>
                              <w:t>haping</w:t>
                            </w:r>
                            <w:r w:rsidR="00BC6318">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2F786" id="_x0000_t202" coordsize="21600,21600" o:spt="202" path="m,l,21600r21600,l21600,xe">
                <v:stroke joinstyle="miter"/>
                <v:path gradientshapeok="t" o:connecttype="rect"/>
              </v:shapetype>
              <v:shape id="Text Box 2" o:spid="_x0000_s1027" type="#_x0000_t202" style="position:absolute;margin-left:314.45pt;margin-top:23.7pt;width:297.55pt;height:142.7pt;z-index:251743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" fillcolor="#f2f2f2 [3052]" stroked="f">
                <v:textbox>
                  <w:txbxContent>
                    <w:p w14:paraId="51D7A003" w14:textId="7B95A33C" w:rsidR="00BE2AB7" w:rsidRPr="009B3AB3" w:rsidRDefault="00E002A6" w:rsidP="00BE2AB7">
                      <w:pPr>
                        <w:spacing w:after="0" w:line="240" w:lineRule="auto"/>
                        <w:rPr>
                          <w:b/>
                          <w:bCs/>
                          <w:color w:val="ED7D31" w:themeColor="accent2"/>
                        </w:rPr>
                      </w:pPr>
                      <w:r w:rsidRPr="009B3AB3">
                        <w:rPr>
                          <w:b/>
                          <w:bCs/>
                          <w:color w:val="ED7D31" w:themeColor="accent2"/>
                        </w:rPr>
                        <w:t>The Solution</w:t>
                      </w:r>
                    </w:p>
                    <w:p w14:paraId="62E1F507" w14:textId="54D8ED29" w:rsidR="00D955E3" w:rsidRPr="00075070" w:rsidRDefault="001B3C8A" w:rsidP="000B6A6F">
                      <w:pPr>
                        <w:spacing w:after="0" w:line="240" w:lineRule="auto"/>
                        <w:rPr>
                          <w:color w:val="ED7D31" w:themeColor="accent2"/>
                          <w:sz w:val="20"/>
                          <w:szCs w:val="20"/>
                        </w:rPr>
                      </w:pPr>
                      <w:r w:rsidRPr="00007E11">
                        <w:rPr>
                          <w:sz w:val="20"/>
                          <w:szCs w:val="20"/>
                        </w:rPr>
                        <w:t xml:space="preserve">Pumex </w:t>
                      </w:r>
                      <w:r w:rsidR="00A479A1">
                        <w:rPr>
                          <w:sz w:val="20"/>
                          <w:szCs w:val="20"/>
                        </w:rPr>
                        <w:t>performed a gap analysis</w:t>
                      </w:r>
                      <w:r w:rsidR="004E475E">
                        <w:rPr>
                          <w:sz w:val="20"/>
                          <w:szCs w:val="20"/>
                        </w:rPr>
                        <w:t xml:space="preserve"> of the </w:t>
                      </w:r>
                      <w:r w:rsidR="004E475E" w:rsidRPr="004E475E">
                        <w:rPr>
                          <w:sz w:val="20"/>
                          <w:szCs w:val="20"/>
                        </w:rPr>
                        <w:t>network, infrastructure</w:t>
                      </w:r>
                      <w:r w:rsidR="004E475E">
                        <w:rPr>
                          <w:sz w:val="20"/>
                          <w:szCs w:val="20"/>
                        </w:rPr>
                        <w:t>,</w:t>
                      </w:r>
                      <w:r w:rsidR="004E475E" w:rsidRPr="004E475E">
                        <w:rPr>
                          <w:sz w:val="20"/>
                          <w:szCs w:val="20"/>
                        </w:rPr>
                        <w:t xml:space="preserve"> and organizational technology goals.</w:t>
                      </w:r>
                      <w:r w:rsidR="006A29A7">
                        <w:rPr>
                          <w:sz w:val="20"/>
                          <w:szCs w:val="20"/>
                        </w:rPr>
                        <w:t xml:space="preserve"> </w:t>
                      </w:r>
                      <w:r w:rsidR="00BC6318">
                        <w:rPr>
                          <w:sz w:val="20"/>
                          <w:szCs w:val="20"/>
                        </w:rPr>
                        <w:t xml:space="preserve">Within </w:t>
                      </w:r>
                      <w:r w:rsidR="00AC622F">
                        <w:rPr>
                          <w:sz w:val="20"/>
                          <w:szCs w:val="20"/>
                        </w:rPr>
                        <w:t>45 days, Pumex</w:t>
                      </w:r>
                      <w:r w:rsidR="00AC622F" w:rsidRPr="00AC622F">
                        <w:rPr>
                          <w:sz w:val="20"/>
                          <w:szCs w:val="20"/>
                        </w:rPr>
                        <w:t xml:space="preserve"> migrate</w:t>
                      </w:r>
                      <w:r w:rsidR="00AC622F">
                        <w:rPr>
                          <w:sz w:val="20"/>
                          <w:szCs w:val="20"/>
                        </w:rPr>
                        <w:t>d</w:t>
                      </w:r>
                      <w:r w:rsidR="00AC622F" w:rsidRPr="00AC622F">
                        <w:rPr>
                          <w:sz w:val="20"/>
                          <w:szCs w:val="20"/>
                        </w:rPr>
                        <w:t xml:space="preserve"> </w:t>
                      </w:r>
                      <w:r w:rsidR="00B92D00" w:rsidRPr="00B92D00">
                        <w:rPr>
                          <w:sz w:val="20"/>
                          <w:szCs w:val="20"/>
                        </w:rPr>
                        <w:t xml:space="preserve">AFTA to a cloud-based file share solution, implemented a cloud based </w:t>
                      </w:r>
                      <w:proofErr w:type="spellStart"/>
                      <w:r w:rsidR="00B92D00" w:rsidRPr="00B92D00">
                        <w:rPr>
                          <w:sz w:val="20"/>
                          <w:szCs w:val="20"/>
                        </w:rPr>
                        <w:t>UCaaS</w:t>
                      </w:r>
                      <w:proofErr w:type="spellEnd"/>
                      <w:r w:rsidR="00B92D00" w:rsidRPr="00B92D00">
                        <w:rPr>
                          <w:sz w:val="20"/>
                          <w:szCs w:val="20"/>
                        </w:rPr>
                        <w:t xml:space="preserve"> solution, retired their legacy Cisco onsite phone platform,</w:t>
                      </w:r>
                      <w:r w:rsidR="00315B3C">
                        <w:rPr>
                          <w:sz w:val="20"/>
                          <w:szCs w:val="20"/>
                        </w:rPr>
                        <w:t xml:space="preserve"> and</w:t>
                      </w:r>
                      <w:r w:rsidR="00B92D00" w:rsidRPr="00B92D00">
                        <w:rPr>
                          <w:sz w:val="20"/>
                          <w:szCs w:val="20"/>
                        </w:rPr>
                        <w:t xml:space="preserve"> implemented a network and server monitoring solution.  </w:t>
                      </w:r>
                      <w:r w:rsidR="000A6C2F">
                        <w:rPr>
                          <w:sz w:val="20"/>
                          <w:szCs w:val="20"/>
                        </w:rPr>
                        <w:t xml:space="preserve">For their network infrastructure refresh, we </w:t>
                      </w:r>
                      <w:r w:rsidR="000A6C2F" w:rsidRPr="000A6C2F">
                        <w:rPr>
                          <w:sz w:val="20"/>
                          <w:szCs w:val="20"/>
                        </w:rPr>
                        <w:t>implement</w:t>
                      </w:r>
                      <w:r w:rsidR="000A6C2F">
                        <w:rPr>
                          <w:sz w:val="20"/>
                          <w:szCs w:val="20"/>
                        </w:rPr>
                        <w:t>ed</w:t>
                      </w:r>
                      <w:r w:rsidR="000A6C2F" w:rsidRPr="000A6C2F">
                        <w:rPr>
                          <w:sz w:val="20"/>
                          <w:szCs w:val="20"/>
                        </w:rPr>
                        <w:t xml:space="preserve"> </w:t>
                      </w:r>
                      <w:r w:rsidR="003365F0">
                        <w:rPr>
                          <w:sz w:val="20"/>
                          <w:szCs w:val="20"/>
                        </w:rPr>
                        <w:t xml:space="preserve">Cybersecurity best practices; </w:t>
                      </w:r>
                      <w:r w:rsidR="000A6C2F" w:rsidRPr="000A6C2F">
                        <w:rPr>
                          <w:sz w:val="20"/>
                          <w:szCs w:val="20"/>
                        </w:rPr>
                        <w:t>VLAN’s, clos</w:t>
                      </w:r>
                      <w:r w:rsidR="000A6C2F">
                        <w:rPr>
                          <w:sz w:val="20"/>
                          <w:szCs w:val="20"/>
                        </w:rPr>
                        <w:t xml:space="preserve">ed </w:t>
                      </w:r>
                      <w:r w:rsidR="000A6C2F" w:rsidRPr="000A6C2F">
                        <w:rPr>
                          <w:sz w:val="20"/>
                          <w:szCs w:val="20"/>
                        </w:rPr>
                        <w:t>unnecessary external ports, load balanc</w:t>
                      </w:r>
                      <w:r w:rsidR="000A6C2F">
                        <w:rPr>
                          <w:sz w:val="20"/>
                          <w:szCs w:val="20"/>
                        </w:rPr>
                        <w:t>ed</w:t>
                      </w:r>
                      <w:r w:rsidR="000A6C2F" w:rsidRPr="000A6C2F">
                        <w:rPr>
                          <w:sz w:val="20"/>
                          <w:szCs w:val="20"/>
                        </w:rPr>
                        <w:t xml:space="preserve"> their backup and primary ISP, and lever</w:t>
                      </w:r>
                      <w:r w:rsidR="009909E8">
                        <w:rPr>
                          <w:sz w:val="20"/>
                          <w:szCs w:val="20"/>
                        </w:rPr>
                        <w:t>ag</w:t>
                      </w:r>
                      <w:r w:rsidR="008C7807">
                        <w:rPr>
                          <w:sz w:val="20"/>
                          <w:szCs w:val="20"/>
                        </w:rPr>
                        <w:t>ed</w:t>
                      </w:r>
                      <w:r w:rsidR="009909E8">
                        <w:rPr>
                          <w:sz w:val="20"/>
                          <w:szCs w:val="20"/>
                        </w:rPr>
                        <w:t xml:space="preserve"> QoS traffic s</w:t>
                      </w:r>
                      <w:r w:rsidR="000A6C2F" w:rsidRPr="000A6C2F">
                        <w:rPr>
                          <w:sz w:val="20"/>
                          <w:szCs w:val="20"/>
                        </w:rPr>
                        <w:t>haping</w:t>
                      </w:r>
                      <w:r w:rsidR="00BC6318">
                        <w:rPr>
                          <w:sz w:val="20"/>
                          <w:szCs w:val="20"/>
                        </w:rPr>
                        <w:t xml:space="preserve">. </w:t>
                      </w:r>
                    </w:p>
                  </w:txbxContent>
                </v:textbox>
                <w10:wrap type="square" anchorx="page"/>
              </v:shape>
            </w:pict>
          </mc:Fallback>
        </mc:AlternateContent>
      </w:r>
      <w:r w:rsidRPr="00C43CF9">
        <w:rPr>
          <w:rFonts w:cs="Arial"/>
          <w:b/>
          <w:bCs/>
          <w:i/>
          <w:iCs/>
          <w:noProof/>
        </w:rPr>
        <mc:AlternateContent>
          <mc:Choice Requires="wps">
            <w:drawing>
              <wp:anchor distT="45720" distB="45720" distL="114300" distR="114300" simplePos="0" relativeHeight="251627520" behindDoc="0" locked="0" layoutInCell="1" allowOverlap="1" wp14:anchorId="221FE69D" wp14:editId="5B4A7ADB">
                <wp:simplePos x="0" y="0"/>
                <wp:positionH relativeFrom="page">
                  <wp:posOffset>0</wp:posOffset>
                </wp:positionH>
                <wp:positionV relativeFrom="paragraph">
                  <wp:posOffset>300990</wp:posOffset>
                </wp:positionV>
                <wp:extent cx="4010660" cy="1812925"/>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660" cy="1812925"/>
                        </a:xfrm>
                        <a:prstGeom prst="rect">
                          <a:avLst/>
                        </a:prstGeom>
                        <a:solidFill>
                          <a:schemeClr val="bg1">
                            <a:lumMod val="95000"/>
                          </a:schemeClr>
                        </a:solidFill>
                        <a:ln w="9525">
                          <a:noFill/>
                          <a:miter lim="800000"/>
                          <a:headEnd/>
                          <a:tailEnd/>
                        </a:ln>
                      </wps:spPr>
                      <wps:txbx>
                        <w:txbxContent>
                          <w:p w14:paraId="7D23C6F1" w14:textId="392A14E6" w:rsidR="00E002A6" w:rsidRPr="009B3AB3" w:rsidRDefault="00E002A6" w:rsidP="0089070C">
                            <w:pPr>
                              <w:spacing w:after="0" w:line="240" w:lineRule="auto"/>
                              <w:rPr>
                                <w:b/>
                                <w:bCs/>
                                <w:color w:val="ED7D31" w:themeColor="accent2"/>
                              </w:rPr>
                            </w:pPr>
                            <w:r w:rsidRPr="009B3AB3">
                              <w:rPr>
                                <w:b/>
                                <w:bCs/>
                                <w:color w:val="ED7D31" w:themeColor="accent2"/>
                              </w:rPr>
                              <w:t>The Challenge</w:t>
                            </w:r>
                          </w:p>
                          <w:p w14:paraId="359D7DE5" w14:textId="7748EEFD" w:rsidR="00E002A6" w:rsidRPr="00676AEA" w:rsidRDefault="00BC3846" w:rsidP="0089070C">
                            <w:pPr>
                              <w:spacing w:after="0" w:line="240" w:lineRule="auto"/>
                              <w:rPr>
                                <w:b/>
                                <w:bCs/>
                                <w:color w:val="ED7D31" w:themeColor="accent2"/>
                                <w:sz w:val="20"/>
                                <w:szCs w:val="20"/>
                              </w:rPr>
                            </w:pPr>
                            <w:r w:rsidRPr="00676AEA">
                              <w:rPr>
                                <w:sz w:val="20"/>
                                <w:szCs w:val="20"/>
                              </w:rPr>
                              <w:t xml:space="preserve">AFTA needed to </w:t>
                            </w:r>
                            <w:r w:rsidR="00D47628">
                              <w:rPr>
                                <w:sz w:val="20"/>
                                <w:szCs w:val="20"/>
                              </w:rPr>
                              <w:t xml:space="preserve">quickly </w:t>
                            </w:r>
                            <w:r w:rsidRPr="00676AEA">
                              <w:rPr>
                                <w:sz w:val="20"/>
                                <w:szCs w:val="20"/>
                              </w:rPr>
                              <w:t>roll</w:t>
                            </w:r>
                            <w:r w:rsidR="007A0B04" w:rsidRPr="00676AEA">
                              <w:rPr>
                                <w:sz w:val="20"/>
                                <w:szCs w:val="20"/>
                              </w:rPr>
                              <w:t xml:space="preserve"> out a</w:t>
                            </w:r>
                            <w:r w:rsidRPr="00676AEA">
                              <w:rPr>
                                <w:sz w:val="20"/>
                                <w:szCs w:val="20"/>
                              </w:rPr>
                              <w:t xml:space="preserve"> cloud-based solution</w:t>
                            </w:r>
                            <w:r w:rsidR="007A0B04" w:rsidRPr="00676AEA">
                              <w:rPr>
                                <w:sz w:val="20"/>
                                <w:szCs w:val="20"/>
                              </w:rPr>
                              <w:t xml:space="preserve"> when</w:t>
                            </w:r>
                            <w:r w:rsidR="00F2256F" w:rsidRPr="00676AEA">
                              <w:rPr>
                                <w:sz w:val="20"/>
                                <w:szCs w:val="20"/>
                              </w:rPr>
                              <w:t xml:space="preserve"> the pandemic happened, and the organization was thrust into </w:t>
                            </w:r>
                            <w:r w:rsidR="007A0B04" w:rsidRPr="00676AEA">
                              <w:rPr>
                                <w:sz w:val="20"/>
                                <w:szCs w:val="20"/>
                              </w:rPr>
                              <w:t xml:space="preserve">remote working </w:t>
                            </w:r>
                            <w:r w:rsidR="00F2256F" w:rsidRPr="00676AEA">
                              <w:rPr>
                                <w:sz w:val="20"/>
                                <w:szCs w:val="20"/>
                              </w:rPr>
                              <w:t>environment</w:t>
                            </w:r>
                            <w:r w:rsidR="007A0B04" w:rsidRPr="00676AEA">
                              <w:rPr>
                                <w:sz w:val="20"/>
                                <w:szCs w:val="20"/>
                              </w:rPr>
                              <w:t>. At the time, t</w:t>
                            </w:r>
                            <w:r w:rsidR="00F2256F" w:rsidRPr="00676AEA">
                              <w:rPr>
                                <w:sz w:val="20"/>
                                <w:szCs w:val="20"/>
                              </w:rPr>
                              <w:t xml:space="preserve">he state of their technology did not align well with a </w:t>
                            </w:r>
                            <w:r w:rsidR="007A0B04" w:rsidRPr="00676AEA">
                              <w:rPr>
                                <w:sz w:val="20"/>
                                <w:szCs w:val="20"/>
                              </w:rPr>
                              <w:t>remote work</w:t>
                            </w:r>
                            <w:r w:rsidR="00F2256F" w:rsidRPr="00676AEA">
                              <w:rPr>
                                <w:sz w:val="20"/>
                                <w:szCs w:val="20"/>
                              </w:rPr>
                              <w:t xml:space="preserve"> strategy.</w:t>
                            </w:r>
                            <w:r w:rsidR="00E64E6D" w:rsidRPr="00676AEA">
                              <w:rPr>
                                <w:sz w:val="20"/>
                                <w:szCs w:val="20"/>
                              </w:rPr>
                              <w:t xml:space="preserve"> </w:t>
                            </w:r>
                            <w:r w:rsidR="005857E5" w:rsidRPr="00676AEA">
                              <w:rPr>
                                <w:sz w:val="20"/>
                                <w:szCs w:val="20"/>
                              </w:rPr>
                              <w:t xml:space="preserve">AFTA also required a refresh of their </w:t>
                            </w:r>
                            <w:r w:rsidR="004450E7" w:rsidRPr="00676AEA">
                              <w:rPr>
                                <w:sz w:val="20"/>
                                <w:szCs w:val="20"/>
                              </w:rPr>
                              <w:t>DC and NYC offices</w:t>
                            </w:r>
                            <w:r w:rsidR="00676AEA" w:rsidRPr="00676AEA">
                              <w:rPr>
                                <w:sz w:val="20"/>
                                <w:szCs w:val="20"/>
                              </w:rPr>
                              <w:t xml:space="preserve"> outdated </w:t>
                            </w:r>
                            <w:r w:rsidR="004450E7" w:rsidRPr="00676AEA">
                              <w:rPr>
                                <w:sz w:val="20"/>
                                <w:szCs w:val="20"/>
                              </w:rPr>
                              <w:t>network</w:t>
                            </w:r>
                            <w:r w:rsidR="00116C44">
                              <w:rPr>
                                <w:sz w:val="20"/>
                                <w:szCs w:val="20"/>
                              </w:rPr>
                              <w:t xml:space="preserve"> and server</w:t>
                            </w:r>
                            <w:r w:rsidR="004450E7" w:rsidRPr="00676AEA">
                              <w:rPr>
                                <w:sz w:val="20"/>
                                <w:szCs w:val="20"/>
                              </w:rPr>
                              <w:t xml:space="preserve"> </w:t>
                            </w:r>
                            <w:r w:rsidR="001523E3" w:rsidRPr="00676AEA">
                              <w:rPr>
                                <w:sz w:val="20"/>
                                <w:szCs w:val="20"/>
                              </w:rPr>
                              <w:t xml:space="preserve">infrastructure. </w:t>
                            </w:r>
                          </w:p>
                          <w:p w14:paraId="1A1BA442" w14:textId="77777777" w:rsidR="00E002A6" w:rsidRDefault="00E002A6" w:rsidP="0089070C">
                            <w:pPr>
                              <w:spacing w:after="0" w:line="240" w:lineRule="auto"/>
                              <w:rPr>
                                <w:b/>
                                <w:bCs/>
                                <w:color w:val="ED7D31" w:themeColor="accent2"/>
                              </w:rPr>
                            </w:pPr>
                          </w:p>
                          <w:p w14:paraId="1062545E" w14:textId="77777777" w:rsidR="00E002A6" w:rsidRDefault="00E002A6" w:rsidP="0089070C">
                            <w:pPr>
                              <w:spacing w:after="0" w:line="240" w:lineRule="auto"/>
                              <w:rPr>
                                <w:b/>
                                <w:bCs/>
                                <w:color w:val="ED7D31" w:themeColor="accent2"/>
                              </w:rPr>
                            </w:pPr>
                          </w:p>
                          <w:p w14:paraId="1085F270" w14:textId="77777777" w:rsidR="00E002A6" w:rsidRDefault="00E002A6" w:rsidP="0089070C">
                            <w:pPr>
                              <w:spacing w:after="0" w:line="240" w:lineRule="auto"/>
                              <w:rPr>
                                <w:b/>
                                <w:bCs/>
                                <w:color w:val="ED7D31" w:themeColor="accent2"/>
                              </w:rPr>
                            </w:pPr>
                          </w:p>
                          <w:p w14:paraId="3E7F3C85" w14:textId="77777777" w:rsidR="00E002A6" w:rsidRDefault="00E002A6" w:rsidP="0089070C">
                            <w:pPr>
                              <w:spacing w:after="0" w:line="240" w:lineRule="auto"/>
                              <w:rPr>
                                <w:b/>
                                <w:bCs/>
                                <w:color w:val="ED7D31" w:themeColor="accent2"/>
                              </w:rPr>
                            </w:pPr>
                          </w:p>
                          <w:p w14:paraId="736159DC" w14:textId="77777777" w:rsidR="003716D5" w:rsidRPr="003716D5" w:rsidRDefault="003716D5" w:rsidP="003716D5">
                            <w:pPr>
                              <w:spacing w:after="0" w:line="240" w:lineRule="auto"/>
                              <w:rPr>
                                <w:color w:val="ED7D31" w:themeColor="accent2"/>
                                <w:sz w:val="20"/>
                                <w:szCs w:val="20"/>
                              </w:rPr>
                            </w:pPr>
                          </w:p>
                          <w:p w14:paraId="7673B4AF" w14:textId="32591D79" w:rsidR="000F2046" w:rsidRPr="00075070" w:rsidRDefault="000F2046" w:rsidP="006D22C4">
                            <w:pPr>
                              <w:spacing w:after="0" w:line="240" w:lineRule="auto"/>
                              <w:rPr>
                                <w:color w:val="ED7D31" w:themeColor="accen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FE69D" id="_x0000_s1028" type="#_x0000_t202" style="position:absolute;margin-left:0;margin-top:23.7pt;width:315.8pt;height:142.75pt;z-index:2516275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" fillcolor="#f2f2f2 [3052]" stroked="f">
                <v:textbox>
                  <w:txbxContent>
                    <w:p w14:paraId="7D23C6F1" w14:textId="392A14E6" w:rsidR="00E002A6" w:rsidRPr="009B3AB3" w:rsidRDefault="00E002A6" w:rsidP="0089070C">
                      <w:pPr>
                        <w:spacing w:after="0" w:line="240" w:lineRule="auto"/>
                        <w:rPr>
                          <w:b/>
                          <w:bCs/>
                          <w:color w:val="ED7D31" w:themeColor="accent2"/>
                        </w:rPr>
                      </w:pPr>
                      <w:r w:rsidRPr="009B3AB3">
                        <w:rPr>
                          <w:b/>
                          <w:bCs/>
                          <w:color w:val="ED7D31" w:themeColor="accent2"/>
                        </w:rPr>
                        <w:t>The Challenge</w:t>
                      </w:r>
                    </w:p>
                    <w:p w14:paraId="359D7DE5" w14:textId="7748EEFD" w:rsidR="00E002A6" w:rsidRPr="00676AEA" w:rsidRDefault="00BC3846" w:rsidP="0089070C">
                      <w:pPr>
                        <w:spacing w:after="0" w:line="240" w:lineRule="auto"/>
                        <w:rPr>
                          <w:b/>
                          <w:bCs/>
                          <w:color w:val="ED7D31" w:themeColor="accent2"/>
                          <w:sz w:val="20"/>
                          <w:szCs w:val="20"/>
                        </w:rPr>
                      </w:pPr>
                      <w:r w:rsidRPr="00676AEA">
                        <w:rPr>
                          <w:sz w:val="20"/>
                          <w:szCs w:val="20"/>
                        </w:rPr>
                        <w:t xml:space="preserve">AFTA needed to </w:t>
                      </w:r>
                      <w:r w:rsidR="00D47628">
                        <w:rPr>
                          <w:sz w:val="20"/>
                          <w:szCs w:val="20"/>
                        </w:rPr>
                        <w:t xml:space="preserve">quickly </w:t>
                      </w:r>
                      <w:r w:rsidRPr="00676AEA">
                        <w:rPr>
                          <w:sz w:val="20"/>
                          <w:szCs w:val="20"/>
                        </w:rPr>
                        <w:t>roll</w:t>
                      </w:r>
                      <w:r w:rsidR="007A0B04" w:rsidRPr="00676AEA">
                        <w:rPr>
                          <w:sz w:val="20"/>
                          <w:szCs w:val="20"/>
                        </w:rPr>
                        <w:t xml:space="preserve"> out a</w:t>
                      </w:r>
                      <w:r w:rsidRPr="00676AEA">
                        <w:rPr>
                          <w:sz w:val="20"/>
                          <w:szCs w:val="20"/>
                        </w:rPr>
                        <w:t xml:space="preserve"> cloud-based solution</w:t>
                      </w:r>
                      <w:r w:rsidR="007A0B04" w:rsidRPr="00676AEA">
                        <w:rPr>
                          <w:sz w:val="20"/>
                          <w:szCs w:val="20"/>
                        </w:rPr>
                        <w:t xml:space="preserve"> when</w:t>
                      </w:r>
                      <w:r w:rsidR="00F2256F" w:rsidRPr="00676AEA">
                        <w:rPr>
                          <w:sz w:val="20"/>
                          <w:szCs w:val="20"/>
                        </w:rPr>
                        <w:t xml:space="preserve"> the pandemic happened, and the organization was thrust into </w:t>
                      </w:r>
                      <w:r w:rsidR="007A0B04" w:rsidRPr="00676AEA">
                        <w:rPr>
                          <w:sz w:val="20"/>
                          <w:szCs w:val="20"/>
                        </w:rPr>
                        <w:t xml:space="preserve">remote working </w:t>
                      </w:r>
                      <w:r w:rsidR="00F2256F" w:rsidRPr="00676AEA">
                        <w:rPr>
                          <w:sz w:val="20"/>
                          <w:szCs w:val="20"/>
                        </w:rPr>
                        <w:t>environment</w:t>
                      </w:r>
                      <w:r w:rsidR="007A0B04" w:rsidRPr="00676AEA">
                        <w:rPr>
                          <w:sz w:val="20"/>
                          <w:szCs w:val="20"/>
                        </w:rPr>
                        <w:t>. At the time, t</w:t>
                      </w:r>
                      <w:r w:rsidR="00F2256F" w:rsidRPr="00676AEA">
                        <w:rPr>
                          <w:sz w:val="20"/>
                          <w:szCs w:val="20"/>
                        </w:rPr>
                        <w:t xml:space="preserve">he state of their technology did not align well with a </w:t>
                      </w:r>
                      <w:r w:rsidR="007A0B04" w:rsidRPr="00676AEA">
                        <w:rPr>
                          <w:sz w:val="20"/>
                          <w:szCs w:val="20"/>
                        </w:rPr>
                        <w:t>remote work</w:t>
                      </w:r>
                      <w:r w:rsidR="00F2256F" w:rsidRPr="00676AEA">
                        <w:rPr>
                          <w:sz w:val="20"/>
                          <w:szCs w:val="20"/>
                        </w:rPr>
                        <w:t xml:space="preserve"> strategy.</w:t>
                      </w:r>
                      <w:r w:rsidR="00E64E6D" w:rsidRPr="00676AEA">
                        <w:rPr>
                          <w:sz w:val="20"/>
                          <w:szCs w:val="20"/>
                        </w:rPr>
                        <w:t xml:space="preserve"> </w:t>
                      </w:r>
                      <w:r w:rsidR="005857E5" w:rsidRPr="00676AEA">
                        <w:rPr>
                          <w:sz w:val="20"/>
                          <w:szCs w:val="20"/>
                        </w:rPr>
                        <w:t xml:space="preserve">AFTA also required a refresh of their </w:t>
                      </w:r>
                      <w:r w:rsidR="004450E7" w:rsidRPr="00676AEA">
                        <w:rPr>
                          <w:sz w:val="20"/>
                          <w:szCs w:val="20"/>
                        </w:rPr>
                        <w:t>DC and NYC offices</w:t>
                      </w:r>
                      <w:r w:rsidR="00676AEA" w:rsidRPr="00676AEA">
                        <w:rPr>
                          <w:sz w:val="20"/>
                          <w:szCs w:val="20"/>
                        </w:rPr>
                        <w:t xml:space="preserve"> outdated </w:t>
                      </w:r>
                      <w:r w:rsidR="004450E7" w:rsidRPr="00676AEA">
                        <w:rPr>
                          <w:sz w:val="20"/>
                          <w:szCs w:val="20"/>
                        </w:rPr>
                        <w:t>network</w:t>
                      </w:r>
                      <w:r w:rsidR="00116C44">
                        <w:rPr>
                          <w:sz w:val="20"/>
                          <w:szCs w:val="20"/>
                        </w:rPr>
                        <w:t xml:space="preserve"> and server</w:t>
                      </w:r>
                      <w:r w:rsidR="004450E7" w:rsidRPr="00676AEA">
                        <w:rPr>
                          <w:sz w:val="20"/>
                          <w:szCs w:val="20"/>
                        </w:rPr>
                        <w:t xml:space="preserve"> </w:t>
                      </w:r>
                      <w:r w:rsidR="001523E3" w:rsidRPr="00676AEA">
                        <w:rPr>
                          <w:sz w:val="20"/>
                          <w:szCs w:val="20"/>
                        </w:rPr>
                        <w:t xml:space="preserve">infrastructure. </w:t>
                      </w:r>
                    </w:p>
                    <w:p w14:paraId="1A1BA442" w14:textId="77777777" w:rsidR="00E002A6" w:rsidRDefault="00E002A6" w:rsidP="0089070C">
                      <w:pPr>
                        <w:spacing w:after="0" w:line="240" w:lineRule="auto"/>
                        <w:rPr>
                          <w:b/>
                          <w:bCs/>
                          <w:color w:val="ED7D31" w:themeColor="accent2"/>
                        </w:rPr>
                      </w:pPr>
                    </w:p>
                    <w:p w14:paraId="1062545E" w14:textId="77777777" w:rsidR="00E002A6" w:rsidRDefault="00E002A6" w:rsidP="0089070C">
                      <w:pPr>
                        <w:spacing w:after="0" w:line="240" w:lineRule="auto"/>
                        <w:rPr>
                          <w:b/>
                          <w:bCs/>
                          <w:color w:val="ED7D31" w:themeColor="accent2"/>
                        </w:rPr>
                      </w:pPr>
                    </w:p>
                    <w:p w14:paraId="1085F270" w14:textId="77777777" w:rsidR="00E002A6" w:rsidRDefault="00E002A6" w:rsidP="0089070C">
                      <w:pPr>
                        <w:spacing w:after="0" w:line="240" w:lineRule="auto"/>
                        <w:rPr>
                          <w:b/>
                          <w:bCs/>
                          <w:color w:val="ED7D31" w:themeColor="accent2"/>
                        </w:rPr>
                      </w:pPr>
                    </w:p>
                    <w:p w14:paraId="3E7F3C85" w14:textId="77777777" w:rsidR="00E002A6" w:rsidRDefault="00E002A6" w:rsidP="0089070C">
                      <w:pPr>
                        <w:spacing w:after="0" w:line="240" w:lineRule="auto"/>
                        <w:rPr>
                          <w:b/>
                          <w:bCs/>
                          <w:color w:val="ED7D31" w:themeColor="accent2"/>
                        </w:rPr>
                      </w:pPr>
                    </w:p>
                    <w:p w14:paraId="736159DC" w14:textId="77777777" w:rsidR="003716D5" w:rsidRPr="003716D5" w:rsidRDefault="003716D5" w:rsidP="003716D5">
                      <w:pPr>
                        <w:spacing w:after="0" w:line="240" w:lineRule="auto"/>
                        <w:rPr>
                          <w:color w:val="ED7D31" w:themeColor="accent2"/>
                          <w:sz w:val="20"/>
                          <w:szCs w:val="20"/>
                        </w:rPr>
                      </w:pPr>
                    </w:p>
                    <w:p w14:paraId="7673B4AF" w14:textId="32591D79" w:rsidR="000F2046" w:rsidRPr="00075070" w:rsidRDefault="000F2046" w:rsidP="006D22C4">
                      <w:pPr>
                        <w:spacing w:after="0" w:line="240" w:lineRule="auto"/>
                        <w:rPr>
                          <w:color w:val="ED7D31" w:themeColor="accent2"/>
                          <w:sz w:val="20"/>
                          <w:szCs w:val="20"/>
                        </w:rPr>
                      </w:pPr>
                    </w:p>
                  </w:txbxContent>
                </v:textbox>
                <w10:wrap type="square" anchorx="page"/>
              </v:shape>
            </w:pict>
          </mc:Fallback>
        </mc:AlternateContent>
      </w:r>
    </w:p>
    <w:p w14:paraId="4D35EF1D" w14:textId="77777777" w:rsidR="00052706" w:rsidRDefault="00052706" w:rsidP="006F4016">
      <w:pPr>
        <w:spacing w:after="0" w:line="240" w:lineRule="auto"/>
        <w:rPr>
          <w:b/>
          <w:bCs/>
          <w:color w:val="ED7D31" w:themeColor="accent2"/>
        </w:rPr>
      </w:pPr>
    </w:p>
    <w:p w14:paraId="376F2E18" w14:textId="1DD69C46" w:rsidR="006F4016" w:rsidRPr="000D4471" w:rsidRDefault="004B6DFD" w:rsidP="006F4016">
      <w:pPr>
        <w:spacing w:after="0" w:line="240" w:lineRule="auto"/>
        <w:rPr>
          <w:b/>
          <w:bCs/>
          <w:color w:val="ED7D31" w:themeColor="accent2"/>
        </w:rPr>
      </w:pPr>
      <w:r w:rsidRPr="000D4471">
        <w:rPr>
          <w:b/>
          <w:bCs/>
          <w:color w:val="ED7D31" w:themeColor="accent2"/>
        </w:rPr>
        <w:t>Immediate Results</w:t>
      </w:r>
    </w:p>
    <w:p w14:paraId="1D64FDCD" w14:textId="2B0B4CEE" w:rsidR="00EE0ECD" w:rsidRDefault="00EE0ECD" w:rsidP="006F4016">
      <w:pPr>
        <w:spacing w:after="0" w:line="240" w:lineRule="auto"/>
        <w:rPr>
          <w:b/>
          <w:bCs/>
          <w:color w:val="ED7D31" w:themeColor="accent2"/>
          <w:sz w:val="24"/>
          <w:szCs w:val="24"/>
        </w:rPr>
      </w:pPr>
      <w:r w:rsidRPr="00B8305E">
        <w:rPr>
          <w:rFonts w:cs="Arial"/>
          <w:noProof/>
          <w:color w:val="ED7D31" w:themeColor="accent2"/>
        </w:rPr>
        <mc:AlternateContent>
          <mc:Choice Requires="wps">
            <w:drawing>
              <wp:anchor distT="45720" distB="45720" distL="114300" distR="114300" simplePos="0" relativeHeight="251823104" behindDoc="0" locked="0" layoutInCell="1" allowOverlap="1" wp14:anchorId="1D28F9AE" wp14:editId="0EDF1A9B">
                <wp:simplePos x="0" y="0"/>
                <wp:positionH relativeFrom="column">
                  <wp:posOffset>3853815</wp:posOffset>
                </wp:positionH>
                <wp:positionV relativeFrom="paragraph">
                  <wp:posOffset>95250</wp:posOffset>
                </wp:positionV>
                <wp:extent cx="2360930" cy="1667510"/>
                <wp:effectExtent l="0" t="0" r="8890" b="8890"/>
                <wp:wrapThrough wrapText="bothSides">
                  <wp:wrapPolygon edited="0">
                    <wp:start x="0" y="0"/>
                    <wp:lineTo x="0" y="21468"/>
                    <wp:lineTo x="21526" y="21468"/>
                    <wp:lineTo x="21526"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67510"/>
                        </a:xfrm>
                        <a:prstGeom prst="rect">
                          <a:avLst/>
                        </a:prstGeom>
                        <a:solidFill>
                          <a:srgbClr val="FFFFFF"/>
                        </a:solidFill>
                        <a:ln w="9525">
                          <a:noFill/>
                          <a:miter lim="800000"/>
                          <a:headEnd/>
                          <a:tailEnd/>
                        </a:ln>
                      </wps:spPr>
                      <wps:txbx>
                        <w:txbxContent>
                          <w:p w14:paraId="01160788" w14:textId="01A215D9" w:rsidR="00450DD4" w:rsidRPr="00450DD4" w:rsidRDefault="00FF4B82" w:rsidP="00394F24">
                            <w:pPr>
                              <w:pStyle w:val="ListParagraph"/>
                              <w:numPr>
                                <w:ilvl w:val="0"/>
                                <w:numId w:val="10"/>
                              </w:numPr>
                              <w:spacing w:after="0" w:line="240" w:lineRule="auto"/>
                              <w:rPr>
                                <w:sz w:val="20"/>
                                <w:szCs w:val="20"/>
                              </w:rPr>
                            </w:pPr>
                            <w:r>
                              <w:rPr>
                                <w:b/>
                                <w:bCs/>
                                <w:i/>
                                <w:iCs/>
                                <w:sz w:val="20"/>
                                <w:szCs w:val="20"/>
                              </w:rPr>
                              <w:t xml:space="preserve">Additional </w:t>
                            </w:r>
                            <w:r w:rsidR="002978CE">
                              <w:rPr>
                                <w:b/>
                                <w:bCs/>
                                <w:i/>
                                <w:iCs/>
                                <w:sz w:val="20"/>
                                <w:szCs w:val="20"/>
                              </w:rPr>
                              <w:t xml:space="preserve">projects due to </w:t>
                            </w:r>
                            <w:r w:rsidR="00A05FCB">
                              <w:rPr>
                                <w:b/>
                                <w:bCs/>
                                <w:i/>
                                <w:iCs/>
                                <w:sz w:val="20"/>
                                <w:szCs w:val="20"/>
                              </w:rPr>
                              <w:t>prompt</w:t>
                            </w:r>
                            <w:r w:rsidR="00826935">
                              <w:rPr>
                                <w:b/>
                                <w:bCs/>
                                <w:i/>
                                <w:iCs/>
                                <w:sz w:val="20"/>
                                <w:szCs w:val="20"/>
                              </w:rPr>
                              <w:t xml:space="preserve"> delivery</w:t>
                            </w:r>
                            <w:r w:rsidR="00450DD4" w:rsidRPr="00450DD4">
                              <w:rPr>
                                <w:b/>
                                <w:bCs/>
                                <w:i/>
                                <w:iCs/>
                                <w:sz w:val="20"/>
                                <w:szCs w:val="20"/>
                              </w:rPr>
                              <w:t xml:space="preserve"> </w:t>
                            </w:r>
                            <w:r w:rsidR="00615C4D">
                              <w:rPr>
                                <w:b/>
                                <w:bCs/>
                                <w:i/>
                                <w:iCs/>
                                <w:sz w:val="20"/>
                                <w:szCs w:val="20"/>
                              </w:rPr>
                              <w:t>–</w:t>
                            </w:r>
                            <w:r w:rsidR="00450DD4" w:rsidRPr="00450DD4">
                              <w:rPr>
                                <w:b/>
                                <w:bCs/>
                                <w:i/>
                                <w:iCs/>
                                <w:sz w:val="20"/>
                                <w:szCs w:val="20"/>
                              </w:rPr>
                              <w:t xml:space="preserve"> </w:t>
                            </w:r>
                            <w:r w:rsidR="00615C4D">
                              <w:rPr>
                                <w:sz w:val="20"/>
                                <w:szCs w:val="20"/>
                              </w:rPr>
                              <w:t xml:space="preserve">We were able to deliver their </w:t>
                            </w:r>
                            <w:r w:rsidR="005741C1">
                              <w:rPr>
                                <w:sz w:val="20"/>
                                <w:szCs w:val="20"/>
                              </w:rPr>
                              <w:t xml:space="preserve">requests in advance of our promised delivery </w:t>
                            </w:r>
                            <w:r w:rsidR="001C2238">
                              <w:rPr>
                                <w:sz w:val="20"/>
                                <w:szCs w:val="20"/>
                              </w:rPr>
                              <w:t>time and</w:t>
                            </w:r>
                            <w:r w:rsidR="005741C1">
                              <w:rPr>
                                <w:sz w:val="20"/>
                                <w:szCs w:val="20"/>
                              </w:rPr>
                              <w:t xml:space="preserve"> were therefore able to</w:t>
                            </w:r>
                            <w:r w:rsidR="005A44CD">
                              <w:rPr>
                                <w:sz w:val="20"/>
                                <w:szCs w:val="20"/>
                              </w:rPr>
                              <w:t xml:space="preserve"> upgrade their server </w:t>
                            </w:r>
                            <w:r w:rsidR="00704570">
                              <w:rPr>
                                <w:sz w:val="20"/>
                                <w:szCs w:val="20"/>
                              </w:rPr>
                              <w:t>environment to MS Server 2019</w:t>
                            </w:r>
                            <w:r w:rsidR="00077ED5">
                              <w:rPr>
                                <w:sz w:val="20"/>
                                <w:szCs w:val="20"/>
                              </w:rPr>
                              <w:t xml:space="preserve">, </w:t>
                            </w:r>
                            <w:r w:rsidR="00077ED5" w:rsidRPr="00077ED5">
                              <w:rPr>
                                <w:sz w:val="20"/>
                                <w:szCs w:val="20"/>
                              </w:rPr>
                              <w:t>upgrad</w:t>
                            </w:r>
                            <w:r w:rsidR="00077ED5">
                              <w:rPr>
                                <w:sz w:val="20"/>
                                <w:szCs w:val="20"/>
                              </w:rPr>
                              <w:t xml:space="preserve">e </w:t>
                            </w:r>
                            <w:r w:rsidR="00077ED5" w:rsidRPr="00077ED5">
                              <w:rPr>
                                <w:sz w:val="20"/>
                                <w:szCs w:val="20"/>
                              </w:rPr>
                              <w:t xml:space="preserve">their </w:t>
                            </w:r>
                            <w:r w:rsidR="00BE3C89" w:rsidRPr="00077ED5">
                              <w:rPr>
                                <w:sz w:val="20"/>
                                <w:szCs w:val="20"/>
                              </w:rPr>
                              <w:t>user’s</w:t>
                            </w:r>
                            <w:r w:rsidR="00077ED5" w:rsidRPr="00077ED5">
                              <w:rPr>
                                <w:sz w:val="20"/>
                                <w:szCs w:val="20"/>
                              </w:rPr>
                              <w:t xml:space="preserve"> A/V to Sophos antivirus, upgrad</w:t>
                            </w:r>
                            <w:r w:rsidR="00091E52">
                              <w:rPr>
                                <w:sz w:val="20"/>
                                <w:szCs w:val="20"/>
                              </w:rPr>
                              <w:t>e</w:t>
                            </w:r>
                            <w:r w:rsidR="00077ED5" w:rsidRPr="00077ED5">
                              <w:rPr>
                                <w:sz w:val="20"/>
                                <w:szCs w:val="20"/>
                              </w:rPr>
                              <w:t xml:space="preserve"> the disk storage in their SAN, upgrad</w:t>
                            </w:r>
                            <w:r w:rsidR="00091E52">
                              <w:rPr>
                                <w:sz w:val="20"/>
                                <w:szCs w:val="20"/>
                              </w:rPr>
                              <w:t>e</w:t>
                            </w:r>
                            <w:r w:rsidR="00077ED5" w:rsidRPr="00077ED5">
                              <w:rPr>
                                <w:sz w:val="20"/>
                                <w:szCs w:val="20"/>
                              </w:rPr>
                              <w:t xml:space="preserve"> their Veeam solution to include O365 backups, and implement Okta SSO with </w:t>
                            </w:r>
                            <w:r w:rsidR="00091E52">
                              <w:rPr>
                                <w:sz w:val="20"/>
                                <w:szCs w:val="20"/>
                              </w:rPr>
                              <w:t>A</w:t>
                            </w:r>
                            <w:r w:rsidR="00077ED5" w:rsidRPr="00077ED5">
                              <w:rPr>
                                <w:sz w:val="20"/>
                                <w:szCs w:val="20"/>
                              </w:rPr>
                              <w:t xml:space="preserve">ctive </w:t>
                            </w:r>
                            <w:r w:rsidR="00091E52">
                              <w:rPr>
                                <w:sz w:val="20"/>
                                <w:szCs w:val="20"/>
                              </w:rPr>
                              <w:t>D</w:t>
                            </w:r>
                            <w:r w:rsidR="00077ED5" w:rsidRPr="00077ED5">
                              <w:rPr>
                                <w:sz w:val="20"/>
                                <w:szCs w:val="20"/>
                              </w:rPr>
                              <w:t xml:space="preserve">irectory.  </w:t>
                            </w:r>
                          </w:p>
                          <w:p w14:paraId="0C993E4F" w14:textId="77777777" w:rsidR="00394F24" w:rsidRPr="00680BA3" w:rsidRDefault="00394F24" w:rsidP="00394F24">
                            <w:pPr>
                              <w:spacing w:after="0" w:line="240" w:lineRule="auto"/>
                              <w:rPr>
                                <w:sz w:val="20"/>
                                <w:szCs w:val="20"/>
                              </w:rPr>
                            </w:pPr>
                          </w:p>
                          <w:p w14:paraId="6DF823E1" w14:textId="77777777" w:rsidR="00394F24" w:rsidRPr="00680BA3" w:rsidRDefault="00394F24" w:rsidP="00394F24">
                            <w:pPr>
                              <w:rPr>
                                <w:sz w:val="20"/>
                                <w:szCs w:val="20"/>
                              </w:rPr>
                            </w:pPr>
                          </w:p>
                          <w:p w14:paraId="63855E01" w14:textId="77777777" w:rsidR="00394F24" w:rsidRPr="00680BA3" w:rsidRDefault="00394F24" w:rsidP="00394F24">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D28F9AE" id="_x0000_s1029" type="#_x0000_t202" style="position:absolute;margin-left:303.45pt;margin-top:7.5pt;width:185.9pt;height:131.3pt;z-index:2518231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" stroked="f">
                <v:textbox>
                  <w:txbxContent>
                    <w:p w14:paraId="01160788" w14:textId="01A215D9" w:rsidR="00450DD4" w:rsidRPr="00450DD4" w:rsidRDefault="00FF4B82" w:rsidP="00394F24">
                      <w:pPr>
                        <w:pStyle w:val="ListParagraph"/>
                        <w:numPr>
                          <w:ilvl w:val="0"/>
                          <w:numId w:val="10"/>
                        </w:numPr>
                        <w:spacing w:after="0" w:line="240" w:lineRule="auto"/>
                        <w:rPr>
                          <w:sz w:val="20"/>
                          <w:szCs w:val="20"/>
                        </w:rPr>
                      </w:pPr>
                      <w:r>
                        <w:rPr>
                          <w:b/>
                          <w:bCs/>
                          <w:i/>
                          <w:iCs/>
                          <w:sz w:val="20"/>
                          <w:szCs w:val="20"/>
                        </w:rPr>
                        <w:t xml:space="preserve">Additional </w:t>
                      </w:r>
                      <w:r w:rsidR="002978CE">
                        <w:rPr>
                          <w:b/>
                          <w:bCs/>
                          <w:i/>
                          <w:iCs/>
                          <w:sz w:val="20"/>
                          <w:szCs w:val="20"/>
                        </w:rPr>
                        <w:t xml:space="preserve">projects due to </w:t>
                      </w:r>
                      <w:r w:rsidR="00A05FCB">
                        <w:rPr>
                          <w:b/>
                          <w:bCs/>
                          <w:i/>
                          <w:iCs/>
                          <w:sz w:val="20"/>
                          <w:szCs w:val="20"/>
                        </w:rPr>
                        <w:t>prompt</w:t>
                      </w:r>
                      <w:r w:rsidR="00826935">
                        <w:rPr>
                          <w:b/>
                          <w:bCs/>
                          <w:i/>
                          <w:iCs/>
                          <w:sz w:val="20"/>
                          <w:szCs w:val="20"/>
                        </w:rPr>
                        <w:t xml:space="preserve"> delivery</w:t>
                      </w:r>
                      <w:r w:rsidR="00450DD4" w:rsidRPr="00450DD4">
                        <w:rPr>
                          <w:b/>
                          <w:bCs/>
                          <w:i/>
                          <w:iCs/>
                          <w:sz w:val="20"/>
                          <w:szCs w:val="20"/>
                        </w:rPr>
                        <w:t xml:space="preserve"> </w:t>
                      </w:r>
                      <w:r w:rsidR="00615C4D">
                        <w:rPr>
                          <w:b/>
                          <w:bCs/>
                          <w:i/>
                          <w:iCs/>
                          <w:sz w:val="20"/>
                          <w:szCs w:val="20"/>
                        </w:rPr>
                        <w:t>–</w:t>
                      </w:r>
                      <w:r w:rsidR="00450DD4" w:rsidRPr="00450DD4">
                        <w:rPr>
                          <w:b/>
                          <w:bCs/>
                          <w:i/>
                          <w:iCs/>
                          <w:sz w:val="20"/>
                          <w:szCs w:val="20"/>
                        </w:rPr>
                        <w:t xml:space="preserve"> </w:t>
                      </w:r>
                      <w:r w:rsidR="00615C4D">
                        <w:rPr>
                          <w:sz w:val="20"/>
                          <w:szCs w:val="20"/>
                        </w:rPr>
                        <w:t xml:space="preserve">We were able to deliver their </w:t>
                      </w:r>
                      <w:r w:rsidR="005741C1">
                        <w:rPr>
                          <w:sz w:val="20"/>
                          <w:szCs w:val="20"/>
                        </w:rPr>
                        <w:t xml:space="preserve">requests in advance of our promised delivery </w:t>
                      </w:r>
                      <w:r w:rsidR="001C2238">
                        <w:rPr>
                          <w:sz w:val="20"/>
                          <w:szCs w:val="20"/>
                        </w:rPr>
                        <w:t>time and</w:t>
                      </w:r>
                      <w:r w:rsidR="005741C1">
                        <w:rPr>
                          <w:sz w:val="20"/>
                          <w:szCs w:val="20"/>
                        </w:rPr>
                        <w:t xml:space="preserve"> were therefore able to</w:t>
                      </w:r>
                      <w:r w:rsidR="005A44CD">
                        <w:rPr>
                          <w:sz w:val="20"/>
                          <w:szCs w:val="20"/>
                        </w:rPr>
                        <w:t xml:space="preserve"> upgrade their server </w:t>
                      </w:r>
                      <w:r w:rsidR="00704570">
                        <w:rPr>
                          <w:sz w:val="20"/>
                          <w:szCs w:val="20"/>
                        </w:rPr>
                        <w:t>environment to MS Server 2019</w:t>
                      </w:r>
                      <w:r w:rsidR="00077ED5">
                        <w:rPr>
                          <w:sz w:val="20"/>
                          <w:szCs w:val="20"/>
                        </w:rPr>
                        <w:t xml:space="preserve">, </w:t>
                      </w:r>
                      <w:r w:rsidR="00077ED5" w:rsidRPr="00077ED5">
                        <w:rPr>
                          <w:sz w:val="20"/>
                          <w:szCs w:val="20"/>
                        </w:rPr>
                        <w:t>upgrad</w:t>
                      </w:r>
                      <w:r w:rsidR="00077ED5">
                        <w:rPr>
                          <w:sz w:val="20"/>
                          <w:szCs w:val="20"/>
                        </w:rPr>
                        <w:t xml:space="preserve">e </w:t>
                      </w:r>
                      <w:r w:rsidR="00077ED5" w:rsidRPr="00077ED5">
                        <w:rPr>
                          <w:sz w:val="20"/>
                          <w:szCs w:val="20"/>
                        </w:rPr>
                        <w:t xml:space="preserve">their </w:t>
                      </w:r>
                      <w:r w:rsidR="00BE3C89" w:rsidRPr="00077ED5">
                        <w:rPr>
                          <w:sz w:val="20"/>
                          <w:szCs w:val="20"/>
                        </w:rPr>
                        <w:t>user’s</w:t>
                      </w:r>
                      <w:r w:rsidR="00077ED5" w:rsidRPr="00077ED5">
                        <w:rPr>
                          <w:sz w:val="20"/>
                          <w:szCs w:val="20"/>
                        </w:rPr>
                        <w:t xml:space="preserve"> A/V to Sophos antivirus, upgrad</w:t>
                      </w:r>
                      <w:r w:rsidR="00091E52">
                        <w:rPr>
                          <w:sz w:val="20"/>
                          <w:szCs w:val="20"/>
                        </w:rPr>
                        <w:t>e</w:t>
                      </w:r>
                      <w:r w:rsidR="00077ED5" w:rsidRPr="00077ED5">
                        <w:rPr>
                          <w:sz w:val="20"/>
                          <w:szCs w:val="20"/>
                        </w:rPr>
                        <w:t xml:space="preserve"> the disk storage in their SAN, upgrad</w:t>
                      </w:r>
                      <w:r w:rsidR="00091E52">
                        <w:rPr>
                          <w:sz w:val="20"/>
                          <w:szCs w:val="20"/>
                        </w:rPr>
                        <w:t>e</w:t>
                      </w:r>
                      <w:r w:rsidR="00077ED5" w:rsidRPr="00077ED5">
                        <w:rPr>
                          <w:sz w:val="20"/>
                          <w:szCs w:val="20"/>
                        </w:rPr>
                        <w:t xml:space="preserve"> their Veeam solution to include O365 backups, and implement Okta SSO with </w:t>
                      </w:r>
                      <w:r w:rsidR="00091E52">
                        <w:rPr>
                          <w:sz w:val="20"/>
                          <w:szCs w:val="20"/>
                        </w:rPr>
                        <w:t>A</w:t>
                      </w:r>
                      <w:r w:rsidR="00077ED5" w:rsidRPr="00077ED5">
                        <w:rPr>
                          <w:sz w:val="20"/>
                          <w:szCs w:val="20"/>
                        </w:rPr>
                        <w:t xml:space="preserve">ctive </w:t>
                      </w:r>
                      <w:r w:rsidR="00091E52">
                        <w:rPr>
                          <w:sz w:val="20"/>
                          <w:szCs w:val="20"/>
                        </w:rPr>
                        <w:t>D</w:t>
                      </w:r>
                      <w:r w:rsidR="00077ED5" w:rsidRPr="00077ED5">
                        <w:rPr>
                          <w:sz w:val="20"/>
                          <w:szCs w:val="20"/>
                        </w:rPr>
                        <w:t xml:space="preserve">irectory.  </w:t>
                      </w:r>
                    </w:p>
                    <w:p w14:paraId="0C993E4F" w14:textId="77777777" w:rsidR="00394F24" w:rsidRPr="00680BA3" w:rsidRDefault="00394F24" w:rsidP="00394F24">
                      <w:pPr>
                        <w:spacing w:after="0" w:line="240" w:lineRule="auto"/>
                        <w:rPr>
                          <w:sz w:val="20"/>
                          <w:szCs w:val="20"/>
                        </w:rPr>
                      </w:pPr>
                    </w:p>
                    <w:p w14:paraId="6DF823E1" w14:textId="77777777" w:rsidR="00394F24" w:rsidRPr="00680BA3" w:rsidRDefault="00394F24" w:rsidP="00394F24">
                      <w:pPr>
                        <w:rPr>
                          <w:sz w:val="20"/>
                          <w:szCs w:val="20"/>
                        </w:rPr>
                      </w:pPr>
                    </w:p>
                    <w:p w14:paraId="63855E01" w14:textId="77777777" w:rsidR="00394F24" w:rsidRPr="00680BA3" w:rsidRDefault="00394F24" w:rsidP="00394F24">
                      <w:pPr>
                        <w:rPr>
                          <w:sz w:val="20"/>
                          <w:szCs w:val="20"/>
                        </w:rPr>
                      </w:pPr>
                    </w:p>
                  </w:txbxContent>
                </v:textbox>
                <w10:wrap type="through"/>
              </v:shape>
            </w:pict>
          </mc:Fallback>
        </mc:AlternateContent>
      </w:r>
      <w:r w:rsidRPr="00B8305E">
        <w:rPr>
          <w:rFonts w:cs="Arial"/>
          <w:noProof/>
          <w:color w:val="ED7D31" w:themeColor="accent2"/>
        </w:rPr>
        <mc:AlternateContent>
          <mc:Choice Requires="wps">
            <w:drawing>
              <wp:anchor distT="45720" distB="45720" distL="114300" distR="114300" simplePos="0" relativeHeight="251774976" behindDoc="0" locked="0" layoutInCell="1" allowOverlap="1" wp14:anchorId="14BF50F6" wp14:editId="0A967516">
                <wp:simplePos x="0" y="0"/>
                <wp:positionH relativeFrom="margin">
                  <wp:posOffset>-47625</wp:posOffset>
                </wp:positionH>
                <wp:positionV relativeFrom="paragraph">
                  <wp:posOffset>66675</wp:posOffset>
                </wp:positionV>
                <wp:extent cx="2360930" cy="1786255"/>
                <wp:effectExtent l="0" t="0" r="8890" b="4445"/>
                <wp:wrapThrough wrapText="bothSides">
                  <wp:wrapPolygon edited="0">
                    <wp:start x="0" y="0"/>
                    <wp:lineTo x="0" y="21423"/>
                    <wp:lineTo x="21526" y="21423"/>
                    <wp:lineTo x="21526" y="0"/>
                    <wp:lineTo x="0" y="0"/>
                  </wp:wrapPolygon>
                </wp:wrapThrough>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86255"/>
                        </a:xfrm>
                        <a:prstGeom prst="rect">
                          <a:avLst/>
                        </a:prstGeom>
                        <a:solidFill>
                          <a:srgbClr val="FFFFFF"/>
                        </a:solidFill>
                        <a:ln w="9525">
                          <a:noFill/>
                          <a:miter lim="800000"/>
                          <a:headEnd/>
                          <a:tailEnd/>
                        </a:ln>
                      </wps:spPr>
                      <wps:txbx>
                        <w:txbxContent>
                          <w:p w14:paraId="3D3461D3" w14:textId="6764DB11" w:rsidR="00CE6F80" w:rsidRDefault="00CE6F80" w:rsidP="00CE6F80">
                            <w:pPr>
                              <w:pStyle w:val="ListParagraph"/>
                              <w:numPr>
                                <w:ilvl w:val="0"/>
                                <w:numId w:val="10"/>
                              </w:numPr>
                              <w:spacing w:after="0" w:line="240" w:lineRule="auto"/>
                              <w:rPr>
                                <w:sz w:val="20"/>
                                <w:szCs w:val="20"/>
                              </w:rPr>
                            </w:pPr>
                            <w:r>
                              <w:rPr>
                                <w:b/>
                                <w:bCs/>
                                <w:i/>
                                <w:iCs/>
                                <w:sz w:val="20"/>
                                <w:szCs w:val="20"/>
                              </w:rPr>
                              <w:t>Uninterrupted</w:t>
                            </w:r>
                            <w:r w:rsidR="0050082C">
                              <w:rPr>
                                <w:b/>
                                <w:bCs/>
                                <w:i/>
                                <w:iCs/>
                                <w:sz w:val="20"/>
                                <w:szCs w:val="20"/>
                              </w:rPr>
                              <w:t xml:space="preserve"> </w:t>
                            </w:r>
                            <w:r>
                              <w:rPr>
                                <w:b/>
                                <w:bCs/>
                                <w:i/>
                                <w:iCs/>
                                <w:sz w:val="20"/>
                                <w:szCs w:val="20"/>
                              </w:rPr>
                              <w:t>work</w:t>
                            </w:r>
                            <w:r w:rsidR="00450DD4" w:rsidRPr="00450DD4">
                              <w:rPr>
                                <w:b/>
                                <w:bCs/>
                                <w:i/>
                                <w:iCs/>
                                <w:sz w:val="20"/>
                                <w:szCs w:val="20"/>
                              </w:rPr>
                              <w:t xml:space="preserve"> – </w:t>
                            </w:r>
                            <w:r w:rsidR="0050082C" w:rsidRPr="0050082C">
                              <w:rPr>
                                <w:sz w:val="20"/>
                                <w:szCs w:val="20"/>
                              </w:rPr>
                              <w:t xml:space="preserve">AFTA was able to </w:t>
                            </w:r>
                            <w:r w:rsidR="00421954">
                              <w:rPr>
                                <w:sz w:val="20"/>
                                <w:szCs w:val="20"/>
                              </w:rPr>
                              <w:t>move to a remote work</w:t>
                            </w:r>
                            <w:r w:rsidR="00A25771">
                              <w:rPr>
                                <w:sz w:val="20"/>
                                <w:szCs w:val="20"/>
                              </w:rPr>
                              <w:t xml:space="preserve"> environment</w:t>
                            </w:r>
                            <w:r w:rsidR="00421954">
                              <w:rPr>
                                <w:sz w:val="20"/>
                                <w:szCs w:val="20"/>
                              </w:rPr>
                              <w:t xml:space="preserve"> </w:t>
                            </w:r>
                            <w:r w:rsidR="0050082C" w:rsidRPr="0050082C">
                              <w:rPr>
                                <w:sz w:val="20"/>
                                <w:szCs w:val="20"/>
                              </w:rPr>
                              <w:t>quickly and efficiently</w:t>
                            </w:r>
                            <w:r w:rsidR="00421954">
                              <w:rPr>
                                <w:sz w:val="20"/>
                                <w:szCs w:val="20"/>
                              </w:rPr>
                              <w:t xml:space="preserve"> and</w:t>
                            </w:r>
                            <w:r w:rsidR="0050082C" w:rsidRPr="0050082C">
                              <w:rPr>
                                <w:sz w:val="20"/>
                                <w:szCs w:val="20"/>
                              </w:rPr>
                              <w:t xml:space="preserve"> provide easily accessible cloud-based solutions that non-technical users could leverage</w:t>
                            </w:r>
                            <w:r>
                              <w:rPr>
                                <w:sz w:val="20"/>
                                <w:szCs w:val="20"/>
                              </w:rPr>
                              <w:t>.</w:t>
                            </w:r>
                          </w:p>
                          <w:p w14:paraId="21AA6416" w14:textId="606D9C71" w:rsidR="00CE6F80" w:rsidRPr="00CE6F80" w:rsidRDefault="00EA2541" w:rsidP="00CE6F80">
                            <w:pPr>
                              <w:pStyle w:val="ListParagraph"/>
                              <w:numPr>
                                <w:ilvl w:val="0"/>
                                <w:numId w:val="10"/>
                              </w:numPr>
                              <w:spacing w:after="0" w:line="240" w:lineRule="auto"/>
                              <w:rPr>
                                <w:sz w:val="20"/>
                                <w:szCs w:val="20"/>
                              </w:rPr>
                            </w:pPr>
                            <w:r>
                              <w:rPr>
                                <w:b/>
                                <w:bCs/>
                                <w:i/>
                                <w:iCs/>
                                <w:sz w:val="20"/>
                                <w:szCs w:val="20"/>
                              </w:rPr>
                              <w:t xml:space="preserve">Roadmap ahead of schedule – </w:t>
                            </w:r>
                            <w:r>
                              <w:rPr>
                                <w:sz w:val="20"/>
                                <w:szCs w:val="20"/>
                              </w:rPr>
                              <w:t xml:space="preserve">AFTA was able to </w:t>
                            </w:r>
                            <w:r w:rsidRPr="00EA2541">
                              <w:rPr>
                                <w:sz w:val="20"/>
                                <w:szCs w:val="20"/>
                              </w:rPr>
                              <w:t xml:space="preserve">plan and execute major network and infrastructure projects within </w:t>
                            </w:r>
                            <w:r w:rsidR="00A25771">
                              <w:rPr>
                                <w:sz w:val="20"/>
                                <w:szCs w:val="20"/>
                              </w:rPr>
                              <w:t>six months,</w:t>
                            </w:r>
                            <w:r w:rsidRPr="00EA2541">
                              <w:rPr>
                                <w:sz w:val="20"/>
                                <w:szCs w:val="20"/>
                              </w:rPr>
                              <w:t xml:space="preserve"> beating their anticipated technology rollout schedule by over a year</w:t>
                            </w:r>
                            <w:r>
                              <w:rPr>
                                <w:sz w:val="20"/>
                                <w:szCs w:val="20"/>
                              </w:rPr>
                              <w:t>.</w:t>
                            </w:r>
                          </w:p>
                          <w:p w14:paraId="700E8C7C" w14:textId="77777777" w:rsidR="009403EC" w:rsidRPr="00680BA3" w:rsidRDefault="009403EC">
                            <w:pPr>
                              <w:rPr>
                                <w:sz w:val="20"/>
                                <w:szCs w:val="20"/>
                              </w:rPr>
                            </w:pPr>
                          </w:p>
                          <w:p w14:paraId="512D7E2C" w14:textId="77777777" w:rsidR="00170D6D" w:rsidRPr="00680BA3" w:rsidRDefault="00170D6D">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BF50F6" id="_x0000_s1030" type="#_x0000_t202" style="position:absolute;margin-left:-3.75pt;margin-top:5.25pt;width:185.9pt;height:140.65pt;z-index:25177497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FyJQIAACQ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" stroked="f">
                <v:textbox>
                  <w:txbxContent>
                    <w:p w14:paraId="3D3461D3" w14:textId="6764DB11" w:rsidR="00CE6F80" w:rsidRDefault="00CE6F80" w:rsidP="00CE6F80">
                      <w:pPr>
                        <w:pStyle w:val="ListParagraph"/>
                        <w:numPr>
                          <w:ilvl w:val="0"/>
                          <w:numId w:val="10"/>
                        </w:numPr>
                        <w:spacing w:after="0" w:line="240" w:lineRule="auto"/>
                        <w:rPr>
                          <w:sz w:val="20"/>
                          <w:szCs w:val="20"/>
                        </w:rPr>
                      </w:pPr>
                      <w:r>
                        <w:rPr>
                          <w:b/>
                          <w:bCs/>
                          <w:i/>
                          <w:iCs/>
                          <w:sz w:val="20"/>
                          <w:szCs w:val="20"/>
                        </w:rPr>
                        <w:t>Uninterrupted</w:t>
                      </w:r>
                      <w:r w:rsidR="0050082C">
                        <w:rPr>
                          <w:b/>
                          <w:bCs/>
                          <w:i/>
                          <w:iCs/>
                          <w:sz w:val="20"/>
                          <w:szCs w:val="20"/>
                        </w:rPr>
                        <w:t xml:space="preserve"> </w:t>
                      </w:r>
                      <w:r>
                        <w:rPr>
                          <w:b/>
                          <w:bCs/>
                          <w:i/>
                          <w:iCs/>
                          <w:sz w:val="20"/>
                          <w:szCs w:val="20"/>
                        </w:rPr>
                        <w:t>work</w:t>
                      </w:r>
                      <w:r w:rsidR="00450DD4" w:rsidRPr="00450DD4">
                        <w:rPr>
                          <w:b/>
                          <w:bCs/>
                          <w:i/>
                          <w:iCs/>
                          <w:sz w:val="20"/>
                          <w:szCs w:val="20"/>
                        </w:rPr>
                        <w:t xml:space="preserve"> – </w:t>
                      </w:r>
                      <w:r w:rsidR="0050082C" w:rsidRPr="0050082C">
                        <w:rPr>
                          <w:sz w:val="20"/>
                          <w:szCs w:val="20"/>
                        </w:rPr>
                        <w:t xml:space="preserve">AFTA was able to </w:t>
                      </w:r>
                      <w:r w:rsidR="00421954">
                        <w:rPr>
                          <w:sz w:val="20"/>
                          <w:szCs w:val="20"/>
                        </w:rPr>
                        <w:t>move to a remote work</w:t>
                      </w:r>
                      <w:r w:rsidR="00A25771">
                        <w:rPr>
                          <w:sz w:val="20"/>
                          <w:szCs w:val="20"/>
                        </w:rPr>
                        <w:t xml:space="preserve"> environment</w:t>
                      </w:r>
                      <w:r w:rsidR="00421954">
                        <w:rPr>
                          <w:sz w:val="20"/>
                          <w:szCs w:val="20"/>
                        </w:rPr>
                        <w:t xml:space="preserve"> </w:t>
                      </w:r>
                      <w:r w:rsidR="0050082C" w:rsidRPr="0050082C">
                        <w:rPr>
                          <w:sz w:val="20"/>
                          <w:szCs w:val="20"/>
                        </w:rPr>
                        <w:t>quickly and efficiently</w:t>
                      </w:r>
                      <w:r w:rsidR="00421954">
                        <w:rPr>
                          <w:sz w:val="20"/>
                          <w:szCs w:val="20"/>
                        </w:rPr>
                        <w:t xml:space="preserve"> and</w:t>
                      </w:r>
                      <w:r w:rsidR="0050082C" w:rsidRPr="0050082C">
                        <w:rPr>
                          <w:sz w:val="20"/>
                          <w:szCs w:val="20"/>
                        </w:rPr>
                        <w:t xml:space="preserve"> provide easily accessible cloud-based solutions that non-technical users could leverage</w:t>
                      </w:r>
                      <w:r>
                        <w:rPr>
                          <w:sz w:val="20"/>
                          <w:szCs w:val="20"/>
                        </w:rPr>
                        <w:t>.</w:t>
                      </w:r>
                    </w:p>
                    <w:p w14:paraId="21AA6416" w14:textId="606D9C71" w:rsidR="00CE6F80" w:rsidRPr="00CE6F80" w:rsidRDefault="00EA2541" w:rsidP="00CE6F80">
                      <w:pPr>
                        <w:pStyle w:val="ListParagraph"/>
                        <w:numPr>
                          <w:ilvl w:val="0"/>
                          <w:numId w:val="10"/>
                        </w:numPr>
                        <w:spacing w:after="0" w:line="240" w:lineRule="auto"/>
                        <w:rPr>
                          <w:sz w:val="20"/>
                          <w:szCs w:val="20"/>
                        </w:rPr>
                      </w:pPr>
                      <w:r>
                        <w:rPr>
                          <w:b/>
                          <w:bCs/>
                          <w:i/>
                          <w:iCs/>
                          <w:sz w:val="20"/>
                          <w:szCs w:val="20"/>
                        </w:rPr>
                        <w:t xml:space="preserve">Roadmap ahead of schedule – </w:t>
                      </w:r>
                      <w:r>
                        <w:rPr>
                          <w:sz w:val="20"/>
                          <w:szCs w:val="20"/>
                        </w:rPr>
                        <w:t xml:space="preserve">AFTA was able to </w:t>
                      </w:r>
                      <w:r w:rsidRPr="00EA2541">
                        <w:rPr>
                          <w:sz w:val="20"/>
                          <w:szCs w:val="20"/>
                        </w:rPr>
                        <w:t xml:space="preserve">plan and execute major network and infrastructure projects within </w:t>
                      </w:r>
                      <w:r w:rsidR="00A25771">
                        <w:rPr>
                          <w:sz w:val="20"/>
                          <w:szCs w:val="20"/>
                        </w:rPr>
                        <w:t>six months,</w:t>
                      </w:r>
                      <w:r w:rsidRPr="00EA2541">
                        <w:rPr>
                          <w:sz w:val="20"/>
                          <w:szCs w:val="20"/>
                        </w:rPr>
                        <w:t xml:space="preserve"> beating their anticipated technology rollout schedule by over a year</w:t>
                      </w:r>
                      <w:r>
                        <w:rPr>
                          <w:sz w:val="20"/>
                          <w:szCs w:val="20"/>
                        </w:rPr>
                        <w:t>.</w:t>
                      </w:r>
                    </w:p>
                    <w:p w14:paraId="700E8C7C" w14:textId="77777777" w:rsidR="009403EC" w:rsidRPr="00680BA3" w:rsidRDefault="009403EC">
                      <w:pPr>
                        <w:rPr>
                          <w:sz w:val="20"/>
                          <w:szCs w:val="20"/>
                        </w:rPr>
                      </w:pPr>
                    </w:p>
                    <w:p w14:paraId="512D7E2C" w14:textId="77777777" w:rsidR="00170D6D" w:rsidRPr="00680BA3" w:rsidRDefault="00170D6D">
                      <w:pPr>
                        <w:rPr>
                          <w:sz w:val="20"/>
                          <w:szCs w:val="20"/>
                        </w:rPr>
                      </w:pPr>
                    </w:p>
                  </w:txbxContent>
                </v:textbox>
                <w10:wrap type="through" anchorx="margin"/>
              </v:shape>
            </w:pict>
          </mc:Fallback>
        </mc:AlternateContent>
      </w:r>
    </w:p>
    <w:p w14:paraId="7196CF26" w14:textId="63651EC2" w:rsidR="004B6DFD" w:rsidRPr="0075499F" w:rsidRDefault="004B6DFD" w:rsidP="006F4016">
      <w:pPr>
        <w:spacing w:after="0" w:line="240" w:lineRule="auto"/>
        <w:rPr>
          <w:b/>
          <w:bCs/>
          <w:color w:val="ED7D31" w:themeColor="accent2"/>
          <w:sz w:val="24"/>
          <w:szCs w:val="24"/>
        </w:rPr>
      </w:pPr>
    </w:p>
    <w:p w14:paraId="49FF8756" w14:textId="56B4A87C" w:rsidR="00231554" w:rsidRPr="00661833" w:rsidRDefault="006F4016" w:rsidP="00661833">
      <w:pPr>
        <w:spacing w:after="0" w:line="240" w:lineRule="auto"/>
        <w:rPr>
          <w:i/>
          <w:iCs/>
        </w:rPr>
      </w:pPr>
      <w:r>
        <w:rPr>
          <w:i/>
          <w:iCs/>
        </w:rPr>
        <w:t xml:space="preserve">   </w:t>
      </w:r>
    </w:p>
    <w:p w14:paraId="3D9E6C7E" w14:textId="631A8E59" w:rsidR="00231554" w:rsidRDefault="00231554" w:rsidP="00992120">
      <w:pPr>
        <w:spacing w:after="0"/>
        <w:rPr>
          <w:rFonts w:ascii="Arial" w:hAnsi="Arial" w:cs="Arial"/>
        </w:rPr>
      </w:pPr>
    </w:p>
    <w:p w14:paraId="163B9755" w14:textId="0A398C13" w:rsidR="00231554" w:rsidRDefault="00231554" w:rsidP="00992120">
      <w:pPr>
        <w:spacing w:after="0"/>
        <w:rPr>
          <w:rFonts w:ascii="Arial" w:hAnsi="Arial" w:cs="Arial"/>
        </w:rPr>
      </w:pPr>
    </w:p>
    <w:p w14:paraId="56370AFE" w14:textId="76F9AA3B" w:rsidR="00231554" w:rsidRDefault="00231554" w:rsidP="00992120">
      <w:pPr>
        <w:spacing w:after="0"/>
        <w:rPr>
          <w:rFonts w:ascii="Arial" w:hAnsi="Arial" w:cs="Arial"/>
        </w:rPr>
      </w:pPr>
    </w:p>
    <w:p w14:paraId="55A60552" w14:textId="5B3DF756" w:rsidR="00507881" w:rsidRDefault="00507881" w:rsidP="00992120">
      <w:pPr>
        <w:spacing w:after="0"/>
        <w:rPr>
          <w:rFonts w:cs="Arial"/>
          <w:color w:val="ED7D31" w:themeColor="accent2"/>
        </w:rPr>
      </w:pPr>
    </w:p>
    <w:p w14:paraId="1CBD4BE4" w14:textId="48B2DF04" w:rsidR="00F83E15" w:rsidRPr="003E139F" w:rsidRDefault="00F83E15" w:rsidP="00081159">
      <w:pPr>
        <w:spacing w:after="0"/>
        <w:rPr>
          <w:rFonts w:cs="Arial"/>
        </w:rPr>
      </w:pPr>
    </w:p>
    <w:p w14:paraId="424700DC" w14:textId="38EDFB00" w:rsidR="00F07D59" w:rsidRPr="0027739E" w:rsidRDefault="00F07D59" w:rsidP="0053241F">
      <w:pPr>
        <w:rPr>
          <w:rFonts w:cs="Arial"/>
          <w:color w:val="ED7D31" w:themeColor="accent2"/>
        </w:rPr>
      </w:pPr>
    </w:p>
    <w:p w14:paraId="7BEB8957" w14:textId="1CC3003A" w:rsidR="00EB5C0D" w:rsidRPr="00EB5C0D" w:rsidRDefault="00EE0ECD" w:rsidP="00F83E15">
      <w:pPr>
        <w:rPr>
          <w:rFonts w:cs="Arial"/>
          <w:color w:val="ED7D31" w:themeColor="accent2"/>
        </w:rPr>
      </w:pPr>
      <w:r w:rsidRPr="00B8305E">
        <w:rPr>
          <w:rFonts w:cs="Arial"/>
          <w:noProof/>
          <w:color w:val="ED7D31" w:themeColor="accent2"/>
        </w:rPr>
        <mc:AlternateContent>
          <mc:Choice Requires="wps">
            <w:drawing>
              <wp:anchor distT="45720" distB="45720" distL="114300" distR="114300" simplePos="0" relativeHeight="251795456" behindDoc="0" locked="0" layoutInCell="1" allowOverlap="1" wp14:anchorId="39974547" wp14:editId="0643F95C">
                <wp:simplePos x="0" y="0"/>
                <wp:positionH relativeFrom="margin">
                  <wp:posOffset>36195</wp:posOffset>
                </wp:positionH>
                <wp:positionV relativeFrom="paragraph">
                  <wp:posOffset>104775</wp:posOffset>
                </wp:positionV>
                <wp:extent cx="6981825" cy="1009650"/>
                <wp:effectExtent l="0" t="0" r="952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009650"/>
                        </a:xfrm>
                        <a:prstGeom prst="rect">
                          <a:avLst/>
                        </a:prstGeom>
                        <a:solidFill>
                          <a:srgbClr val="FFFFFF"/>
                        </a:solidFill>
                        <a:ln w="9525">
                          <a:noFill/>
                          <a:miter lim="800000"/>
                          <a:headEnd/>
                          <a:tailEnd/>
                        </a:ln>
                      </wps:spPr>
                      <wps:txbx>
                        <w:txbxContent>
                          <w:p w14:paraId="05D3CD43" w14:textId="07F21713" w:rsidR="00EE14D4" w:rsidRPr="00E86876" w:rsidRDefault="003E7D82" w:rsidP="00E86876">
                            <w:pPr>
                              <w:spacing w:after="0" w:line="240" w:lineRule="auto"/>
                              <w:rPr>
                                <w:b/>
                                <w:bCs/>
                                <w:color w:val="ED7D31" w:themeColor="accent2"/>
                              </w:rPr>
                            </w:pPr>
                            <w:proofErr w:type="gramStart"/>
                            <w:r>
                              <w:rPr>
                                <w:b/>
                                <w:bCs/>
                                <w:color w:val="ED7D31" w:themeColor="accent2"/>
                              </w:rPr>
                              <w:t>Future Plans</w:t>
                            </w:r>
                            <w:proofErr w:type="gramEnd"/>
                          </w:p>
                          <w:p w14:paraId="468CC5F3" w14:textId="2900AED6" w:rsidR="005B1C3A" w:rsidRPr="00DA3C41" w:rsidRDefault="001C2238" w:rsidP="001C2238">
                            <w:pPr>
                              <w:spacing w:after="0" w:line="240" w:lineRule="auto"/>
                              <w:rPr>
                                <w:sz w:val="20"/>
                                <w:szCs w:val="20"/>
                              </w:rPr>
                            </w:pPr>
                            <w:r w:rsidRPr="001C2238">
                              <w:rPr>
                                <w:sz w:val="20"/>
                                <w:szCs w:val="20"/>
                              </w:rPr>
                              <w:t>Pumex is continuing to work with AFTA from a CTO/CIO consultation perspective to help them take their technology to the next level</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74547" id="_x0000_s1031" type="#_x0000_t202" style="position:absolute;margin-left:2.85pt;margin-top:8.25pt;width:549.75pt;height:79.5pt;z-index:25179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" stroked="f">
                <v:textbox>
                  <w:txbxContent>
                    <w:p w14:paraId="05D3CD43" w14:textId="07F21713" w:rsidR="00EE14D4" w:rsidRPr="00E86876" w:rsidRDefault="003E7D82" w:rsidP="00E86876">
                      <w:pPr>
                        <w:spacing w:after="0" w:line="240" w:lineRule="auto"/>
                        <w:rPr>
                          <w:b/>
                          <w:bCs/>
                          <w:color w:val="ED7D31" w:themeColor="accent2"/>
                        </w:rPr>
                      </w:pPr>
                      <w:proofErr w:type="gramStart"/>
                      <w:r>
                        <w:rPr>
                          <w:b/>
                          <w:bCs/>
                          <w:color w:val="ED7D31" w:themeColor="accent2"/>
                        </w:rPr>
                        <w:t>Future Plans</w:t>
                      </w:r>
                      <w:proofErr w:type="gramEnd"/>
                    </w:p>
                    <w:p w14:paraId="468CC5F3" w14:textId="2900AED6" w:rsidR="005B1C3A" w:rsidRPr="00DA3C41" w:rsidRDefault="001C2238" w:rsidP="001C2238">
                      <w:pPr>
                        <w:spacing w:after="0" w:line="240" w:lineRule="auto"/>
                        <w:rPr>
                          <w:sz w:val="20"/>
                          <w:szCs w:val="20"/>
                        </w:rPr>
                      </w:pPr>
                      <w:r w:rsidRPr="001C2238">
                        <w:rPr>
                          <w:sz w:val="20"/>
                          <w:szCs w:val="20"/>
                        </w:rPr>
                        <w:t>Pumex is continuing to work with AFTA from a CTO/CIO consultation perspective to help them take their technology to the next level</w:t>
                      </w:r>
                      <w:r>
                        <w:rPr>
                          <w:sz w:val="20"/>
                          <w:szCs w:val="20"/>
                        </w:rPr>
                        <w:t>.</w:t>
                      </w:r>
                    </w:p>
                  </w:txbxContent>
                </v:textbox>
                <w10:wrap type="square" anchorx="margin"/>
              </v:shape>
            </w:pict>
          </mc:Fallback>
        </mc:AlternateContent>
      </w:r>
    </w:p>
    <w:p w14:paraId="53EACDD1" w14:textId="4554CE8E" w:rsidR="00AB38DA" w:rsidRDefault="00AB38DA" w:rsidP="00F83E15">
      <w:pPr>
        <w:rPr>
          <w:rFonts w:cs="Arial"/>
        </w:rPr>
      </w:pPr>
    </w:p>
    <w:p w14:paraId="3DC85AC4" w14:textId="37442C2D" w:rsidR="00AB38DA" w:rsidRDefault="00AB38DA" w:rsidP="00F83E15">
      <w:pPr>
        <w:rPr>
          <w:rFonts w:cs="Arial"/>
        </w:rPr>
      </w:pPr>
    </w:p>
    <w:p w14:paraId="4F99224E" w14:textId="76284A79" w:rsidR="00AB38DA" w:rsidRDefault="00AB38DA" w:rsidP="00F83E15">
      <w:pPr>
        <w:rPr>
          <w:rFonts w:cs="Arial"/>
        </w:rPr>
      </w:pPr>
    </w:p>
    <w:p w14:paraId="06953892" w14:textId="46544C0B" w:rsidR="00AB38DA" w:rsidRDefault="00AB38DA" w:rsidP="00F83E15">
      <w:pPr>
        <w:rPr>
          <w:rFonts w:cs="Arial"/>
        </w:rPr>
      </w:pPr>
    </w:p>
    <w:p w14:paraId="67846DB2" w14:textId="4FD9F95C" w:rsidR="00AD2652" w:rsidRDefault="00AD2652" w:rsidP="00AD2652">
      <w:pPr>
        <w:rPr>
          <w:rFonts w:cs="Arial"/>
        </w:rPr>
      </w:pPr>
    </w:p>
    <w:sectPr w:rsidR="00AD2652" w:rsidSect="00F37AE3">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25E9"/>
    <w:multiLevelType w:val="hybridMultilevel"/>
    <w:tmpl w:val="2AB8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70DD8"/>
    <w:multiLevelType w:val="hybridMultilevel"/>
    <w:tmpl w:val="8530E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0F15BD"/>
    <w:multiLevelType w:val="hybridMultilevel"/>
    <w:tmpl w:val="480C6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445D56"/>
    <w:multiLevelType w:val="hybridMultilevel"/>
    <w:tmpl w:val="03ECD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4F1D0D"/>
    <w:multiLevelType w:val="hybridMultilevel"/>
    <w:tmpl w:val="72CC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180281"/>
    <w:multiLevelType w:val="hybridMultilevel"/>
    <w:tmpl w:val="782E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749BA"/>
    <w:multiLevelType w:val="hybridMultilevel"/>
    <w:tmpl w:val="E0CE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E23D8A"/>
    <w:multiLevelType w:val="hybridMultilevel"/>
    <w:tmpl w:val="3AECD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4C5CAA"/>
    <w:multiLevelType w:val="hybridMultilevel"/>
    <w:tmpl w:val="985ECE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505CA8"/>
    <w:multiLevelType w:val="hybridMultilevel"/>
    <w:tmpl w:val="A5949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9"/>
  </w:num>
  <w:num w:numId="6">
    <w:abstractNumId w:val="5"/>
  </w:num>
  <w:num w:numId="7">
    <w:abstractNumId w:val="4"/>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8D"/>
    <w:rsid w:val="00000B27"/>
    <w:rsid w:val="00004602"/>
    <w:rsid w:val="000065E0"/>
    <w:rsid w:val="00007BB4"/>
    <w:rsid w:val="00007E11"/>
    <w:rsid w:val="0001339A"/>
    <w:rsid w:val="00015464"/>
    <w:rsid w:val="00015AD7"/>
    <w:rsid w:val="0003242F"/>
    <w:rsid w:val="000324B5"/>
    <w:rsid w:val="00036CF9"/>
    <w:rsid w:val="00050A2C"/>
    <w:rsid w:val="00052706"/>
    <w:rsid w:val="00070CB0"/>
    <w:rsid w:val="00071E21"/>
    <w:rsid w:val="00075070"/>
    <w:rsid w:val="00077ED5"/>
    <w:rsid w:val="00081159"/>
    <w:rsid w:val="00085AB1"/>
    <w:rsid w:val="00091E52"/>
    <w:rsid w:val="000A6C2F"/>
    <w:rsid w:val="000B6A6F"/>
    <w:rsid w:val="000C601E"/>
    <w:rsid w:val="000D3208"/>
    <w:rsid w:val="000D4471"/>
    <w:rsid w:val="000F2046"/>
    <w:rsid w:val="00104F42"/>
    <w:rsid w:val="0011580E"/>
    <w:rsid w:val="00116C44"/>
    <w:rsid w:val="00117A88"/>
    <w:rsid w:val="0013213C"/>
    <w:rsid w:val="00136118"/>
    <w:rsid w:val="001523E3"/>
    <w:rsid w:val="001529DC"/>
    <w:rsid w:val="00163F2A"/>
    <w:rsid w:val="00164FB7"/>
    <w:rsid w:val="00170D6D"/>
    <w:rsid w:val="0017350A"/>
    <w:rsid w:val="00181054"/>
    <w:rsid w:val="00183A02"/>
    <w:rsid w:val="00186E18"/>
    <w:rsid w:val="001922EB"/>
    <w:rsid w:val="00194F45"/>
    <w:rsid w:val="00195D8F"/>
    <w:rsid w:val="001B1BA7"/>
    <w:rsid w:val="001B3C8A"/>
    <w:rsid w:val="001C2238"/>
    <w:rsid w:val="001D2968"/>
    <w:rsid w:val="001E0CC9"/>
    <w:rsid w:val="001F7287"/>
    <w:rsid w:val="00202D4A"/>
    <w:rsid w:val="00223322"/>
    <w:rsid w:val="00231554"/>
    <w:rsid w:val="00234E3D"/>
    <w:rsid w:val="00237F2B"/>
    <w:rsid w:val="00245665"/>
    <w:rsid w:val="00251310"/>
    <w:rsid w:val="00263BF4"/>
    <w:rsid w:val="00265D67"/>
    <w:rsid w:val="00267966"/>
    <w:rsid w:val="0027739E"/>
    <w:rsid w:val="0028084F"/>
    <w:rsid w:val="00280C51"/>
    <w:rsid w:val="0028220B"/>
    <w:rsid w:val="00296BB4"/>
    <w:rsid w:val="002978CE"/>
    <w:rsid w:val="002A054B"/>
    <w:rsid w:val="002C08B4"/>
    <w:rsid w:val="002C0BB6"/>
    <w:rsid w:val="002D17FC"/>
    <w:rsid w:val="002F00D7"/>
    <w:rsid w:val="002F037D"/>
    <w:rsid w:val="00311A02"/>
    <w:rsid w:val="00315B3C"/>
    <w:rsid w:val="003160F2"/>
    <w:rsid w:val="0031676A"/>
    <w:rsid w:val="00317272"/>
    <w:rsid w:val="00324732"/>
    <w:rsid w:val="00331965"/>
    <w:rsid w:val="003365F0"/>
    <w:rsid w:val="0034567D"/>
    <w:rsid w:val="00346D29"/>
    <w:rsid w:val="00360B12"/>
    <w:rsid w:val="003716D5"/>
    <w:rsid w:val="00372E90"/>
    <w:rsid w:val="00373089"/>
    <w:rsid w:val="00394F24"/>
    <w:rsid w:val="003A7291"/>
    <w:rsid w:val="003B2E99"/>
    <w:rsid w:val="003B3274"/>
    <w:rsid w:val="003B63E9"/>
    <w:rsid w:val="003C50C9"/>
    <w:rsid w:val="003C6F31"/>
    <w:rsid w:val="003D5303"/>
    <w:rsid w:val="003E139F"/>
    <w:rsid w:val="003E28BD"/>
    <w:rsid w:val="003E468C"/>
    <w:rsid w:val="003E5843"/>
    <w:rsid w:val="003E7D82"/>
    <w:rsid w:val="003F48BF"/>
    <w:rsid w:val="00406953"/>
    <w:rsid w:val="0040737C"/>
    <w:rsid w:val="0041325E"/>
    <w:rsid w:val="004216E5"/>
    <w:rsid w:val="00421954"/>
    <w:rsid w:val="00425FDE"/>
    <w:rsid w:val="004261FD"/>
    <w:rsid w:val="004371B9"/>
    <w:rsid w:val="004450E7"/>
    <w:rsid w:val="00450793"/>
    <w:rsid w:val="00450DD4"/>
    <w:rsid w:val="00452C8A"/>
    <w:rsid w:val="00466926"/>
    <w:rsid w:val="00484FF7"/>
    <w:rsid w:val="00486F44"/>
    <w:rsid w:val="004915DB"/>
    <w:rsid w:val="00495AD4"/>
    <w:rsid w:val="004A3D6F"/>
    <w:rsid w:val="004A583A"/>
    <w:rsid w:val="004B6DFD"/>
    <w:rsid w:val="004C3B59"/>
    <w:rsid w:val="004E3733"/>
    <w:rsid w:val="004E475E"/>
    <w:rsid w:val="004E735E"/>
    <w:rsid w:val="004F16C4"/>
    <w:rsid w:val="0050082C"/>
    <w:rsid w:val="00507881"/>
    <w:rsid w:val="0053241F"/>
    <w:rsid w:val="00532B4B"/>
    <w:rsid w:val="005362D9"/>
    <w:rsid w:val="005405D4"/>
    <w:rsid w:val="005440B7"/>
    <w:rsid w:val="00546BA5"/>
    <w:rsid w:val="00552B73"/>
    <w:rsid w:val="00552E37"/>
    <w:rsid w:val="0055574E"/>
    <w:rsid w:val="00564EC6"/>
    <w:rsid w:val="00570972"/>
    <w:rsid w:val="005741C1"/>
    <w:rsid w:val="005764CB"/>
    <w:rsid w:val="005857E5"/>
    <w:rsid w:val="00596AF3"/>
    <w:rsid w:val="005A44CD"/>
    <w:rsid w:val="005B1C3A"/>
    <w:rsid w:val="005B531E"/>
    <w:rsid w:val="005D2D26"/>
    <w:rsid w:val="005D59F3"/>
    <w:rsid w:val="005D66EF"/>
    <w:rsid w:val="005F54AD"/>
    <w:rsid w:val="00600581"/>
    <w:rsid w:val="00603E52"/>
    <w:rsid w:val="006070D0"/>
    <w:rsid w:val="00615C4D"/>
    <w:rsid w:val="00622BB6"/>
    <w:rsid w:val="00627B6C"/>
    <w:rsid w:val="0063153F"/>
    <w:rsid w:val="00636BF1"/>
    <w:rsid w:val="00641782"/>
    <w:rsid w:val="006504E4"/>
    <w:rsid w:val="00655E78"/>
    <w:rsid w:val="00661833"/>
    <w:rsid w:val="00661936"/>
    <w:rsid w:val="00671A51"/>
    <w:rsid w:val="0067447E"/>
    <w:rsid w:val="00676AEA"/>
    <w:rsid w:val="00680BA3"/>
    <w:rsid w:val="0068232E"/>
    <w:rsid w:val="006A29A7"/>
    <w:rsid w:val="006A3C44"/>
    <w:rsid w:val="006B26A0"/>
    <w:rsid w:val="006C41D7"/>
    <w:rsid w:val="006D22C4"/>
    <w:rsid w:val="006E4274"/>
    <w:rsid w:val="006E42F9"/>
    <w:rsid w:val="006F4016"/>
    <w:rsid w:val="00704570"/>
    <w:rsid w:val="0070556B"/>
    <w:rsid w:val="00711EE5"/>
    <w:rsid w:val="00726E94"/>
    <w:rsid w:val="00736FA0"/>
    <w:rsid w:val="00745718"/>
    <w:rsid w:val="0075499F"/>
    <w:rsid w:val="00762E4C"/>
    <w:rsid w:val="0076416A"/>
    <w:rsid w:val="00765055"/>
    <w:rsid w:val="0077763A"/>
    <w:rsid w:val="00783FF2"/>
    <w:rsid w:val="007A0B04"/>
    <w:rsid w:val="007A205A"/>
    <w:rsid w:val="007A3096"/>
    <w:rsid w:val="007B2267"/>
    <w:rsid w:val="007B62AD"/>
    <w:rsid w:val="007C1A2A"/>
    <w:rsid w:val="007D375E"/>
    <w:rsid w:val="007E4161"/>
    <w:rsid w:val="007F475D"/>
    <w:rsid w:val="007F58C5"/>
    <w:rsid w:val="007F6E53"/>
    <w:rsid w:val="007F7ADC"/>
    <w:rsid w:val="0080287D"/>
    <w:rsid w:val="00807026"/>
    <w:rsid w:val="0081028D"/>
    <w:rsid w:val="00811486"/>
    <w:rsid w:val="008157C2"/>
    <w:rsid w:val="008265FF"/>
    <w:rsid w:val="00826935"/>
    <w:rsid w:val="008464F2"/>
    <w:rsid w:val="00852366"/>
    <w:rsid w:val="00855294"/>
    <w:rsid w:val="00867593"/>
    <w:rsid w:val="008770E8"/>
    <w:rsid w:val="0089070C"/>
    <w:rsid w:val="00891D4B"/>
    <w:rsid w:val="008A3556"/>
    <w:rsid w:val="008A429D"/>
    <w:rsid w:val="008B62BC"/>
    <w:rsid w:val="008C22C8"/>
    <w:rsid w:val="008C5CBD"/>
    <w:rsid w:val="008C7807"/>
    <w:rsid w:val="008E0613"/>
    <w:rsid w:val="008F03A8"/>
    <w:rsid w:val="008F0A0D"/>
    <w:rsid w:val="008F2A5F"/>
    <w:rsid w:val="00905739"/>
    <w:rsid w:val="00910648"/>
    <w:rsid w:val="00914EE9"/>
    <w:rsid w:val="00921CBE"/>
    <w:rsid w:val="00930945"/>
    <w:rsid w:val="00935016"/>
    <w:rsid w:val="009403EC"/>
    <w:rsid w:val="00951709"/>
    <w:rsid w:val="00960E0F"/>
    <w:rsid w:val="009700F1"/>
    <w:rsid w:val="009909E8"/>
    <w:rsid w:val="00992120"/>
    <w:rsid w:val="009A174F"/>
    <w:rsid w:val="009B3AB3"/>
    <w:rsid w:val="009D11CA"/>
    <w:rsid w:val="009D7413"/>
    <w:rsid w:val="009F0EC6"/>
    <w:rsid w:val="00A04093"/>
    <w:rsid w:val="00A05FCB"/>
    <w:rsid w:val="00A06316"/>
    <w:rsid w:val="00A06C69"/>
    <w:rsid w:val="00A07591"/>
    <w:rsid w:val="00A20E7B"/>
    <w:rsid w:val="00A24A92"/>
    <w:rsid w:val="00A25771"/>
    <w:rsid w:val="00A41FBF"/>
    <w:rsid w:val="00A479A1"/>
    <w:rsid w:val="00A552CC"/>
    <w:rsid w:val="00A671C9"/>
    <w:rsid w:val="00A82747"/>
    <w:rsid w:val="00A8710E"/>
    <w:rsid w:val="00A91BF2"/>
    <w:rsid w:val="00AB38DA"/>
    <w:rsid w:val="00AC39B9"/>
    <w:rsid w:val="00AC622F"/>
    <w:rsid w:val="00AC673D"/>
    <w:rsid w:val="00AD2652"/>
    <w:rsid w:val="00AD29F5"/>
    <w:rsid w:val="00AD6188"/>
    <w:rsid w:val="00AE4BE0"/>
    <w:rsid w:val="00AE5F5B"/>
    <w:rsid w:val="00AF12C1"/>
    <w:rsid w:val="00AF25CD"/>
    <w:rsid w:val="00B003CE"/>
    <w:rsid w:val="00B028DE"/>
    <w:rsid w:val="00B137BF"/>
    <w:rsid w:val="00B22459"/>
    <w:rsid w:val="00B23DD1"/>
    <w:rsid w:val="00B306ED"/>
    <w:rsid w:val="00B46AF8"/>
    <w:rsid w:val="00B520CE"/>
    <w:rsid w:val="00B54EFC"/>
    <w:rsid w:val="00B57770"/>
    <w:rsid w:val="00B7221E"/>
    <w:rsid w:val="00B768DC"/>
    <w:rsid w:val="00B8305E"/>
    <w:rsid w:val="00B83100"/>
    <w:rsid w:val="00B91014"/>
    <w:rsid w:val="00B92D00"/>
    <w:rsid w:val="00B93E07"/>
    <w:rsid w:val="00B96A14"/>
    <w:rsid w:val="00BA3511"/>
    <w:rsid w:val="00BA7EAD"/>
    <w:rsid w:val="00BC3846"/>
    <w:rsid w:val="00BC6318"/>
    <w:rsid w:val="00BC7B52"/>
    <w:rsid w:val="00BE24E6"/>
    <w:rsid w:val="00BE2AB7"/>
    <w:rsid w:val="00BE3C89"/>
    <w:rsid w:val="00BE79C5"/>
    <w:rsid w:val="00BF047F"/>
    <w:rsid w:val="00BF49B9"/>
    <w:rsid w:val="00BF69A1"/>
    <w:rsid w:val="00BF7632"/>
    <w:rsid w:val="00C03875"/>
    <w:rsid w:val="00C05EFB"/>
    <w:rsid w:val="00C11930"/>
    <w:rsid w:val="00C256F0"/>
    <w:rsid w:val="00C27ADA"/>
    <w:rsid w:val="00C43CF9"/>
    <w:rsid w:val="00C45924"/>
    <w:rsid w:val="00C461E4"/>
    <w:rsid w:val="00C52B77"/>
    <w:rsid w:val="00C61B1F"/>
    <w:rsid w:val="00C63EBC"/>
    <w:rsid w:val="00C75942"/>
    <w:rsid w:val="00C81EBB"/>
    <w:rsid w:val="00C826DD"/>
    <w:rsid w:val="00C9380B"/>
    <w:rsid w:val="00CD6FF1"/>
    <w:rsid w:val="00CE4D4E"/>
    <w:rsid w:val="00CE6F80"/>
    <w:rsid w:val="00CF3F58"/>
    <w:rsid w:val="00CF7CE4"/>
    <w:rsid w:val="00D208A2"/>
    <w:rsid w:val="00D47628"/>
    <w:rsid w:val="00D521F9"/>
    <w:rsid w:val="00D5692F"/>
    <w:rsid w:val="00D64EF8"/>
    <w:rsid w:val="00D6509B"/>
    <w:rsid w:val="00D71E58"/>
    <w:rsid w:val="00D7248C"/>
    <w:rsid w:val="00D8118C"/>
    <w:rsid w:val="00D955E3"/>
    <w:rsid w:val="00DA3C41"/>
    <w:rsid w:val="00DA75FF"/>
    <w:rsid w:val="00DB1330"/>
    <w:rsid w:val="00DB4176"/>
    <w:rsid w:val="00DB5EFC"/>
    <w:rsid w:val="00DC1E2F"/>
    <w:rsid w:val="00DC64DF"/>
    <w:rsid w:val="00DF341A"/>
    <w:rsid w:val="00DF5F35"/>
    <w:rsid w:val="00DF78C5"/>
    <w:rsid w:val="00E002A6"/>
    <w:rsid w:val="00E00B88"/>
    <w:rsid w:val="00E1192E"/>
    <w:rsid w:val="00E12476"/>
    <w:rsid w:val="00E13303"/>
    <w:rsid w:val="00E215AE"/>
    <w:rsid w:val="00E2306B"/>
    <w:rsid w:val="00E26908"/>
    <w:rsid w:val="00E368EA"/>
    <w:rsid w:val="00E64E6D"/>
    <w:rsid w:val="00E7042C"/>
    <w:rsid w:val="00E768CF"/>
    <w:rsid w:val="00E8281A"/>
    <w:rsid w:val="00E845DD"/>
    <w:rsid w:val="00E86876"/>
    <w:rsid w:val="00E870A6"/>
    <w:rsid w:val="00E909B4"/>
    <w:rsid w:val="00E92C3C"/>
    <w:rsid w:val="00EA2541"/>
    <w:rsid w:val="00EA2B82"/>
    <w:rsid w:val="00EB2581"/>
    <w:rsid w:val="00EB28D9"/>
    <w:rsid w:val="00EB36B9"/>
    <w:rsid w:val="00EB5C0D"/>
    <w:rsid w:val="00EC2F72"/>
    <w:rsid w:val="00ED224F"/>
    <w:rsid w:val="00ED4ADC"/>
    <w:rsid w:val="00EE0068"/>
    <w:rsid w:val="00EE0ECD"/>
    <w:rsid w:val="00EE14D4"/>
    <w:rsid w:val="00EE157C"/>
    <w:rsid w:val="00EF51E1"/>
    <w:rsid w:val="00EF5EAC"/>
    <w:rsid w:val="00F01D65"/>
    <w:rsid w:val="00F07D59"/>
    <w:rsid w:val="00F2256F"/>
    <w:rsid w:val="00F261F4"/>
    <w:rsid w:val="00F37AE3"/>
    <w:rsid w:val="00F47CB1"/>
    <w:rsid w:val="00F63A81"/>
    <w:rsid w:val="00F7428D"/>
    <w:rsid w:val="00F74FC8"/>
    <w:rsid w:val="00F75738"/>
    <w:rsid w:val="00F76180"/>
    <w:rsid w:val="00F83E15"/>
    <w:rsid w:val="00F9435D"/>
    <w:rsid w:val="00FB10FA"/>
    <w:rsid w:val="00FB210B"/>
    <w:rsid w:val="00FB4B8B"/>
    <w:rsid w:val="00FC237C"/>
    <w:rsid w:val="00FD0162"/>
    <w:rsid w:val="00FD4A13"/>
    <w:rsid w:val="00FD4B02"/>
    <w:rsid w:val="00FE2223"/>
    <w:rsid w:val="00FF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CE01"/>
  <w15:chartTrackingRefBased/>
  <w15:docId w15:val="{04B0BFB0-6A5C-484D-947C-A7A05D46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83E15"/>
    <w:pPr>
      <w:spacing w:after="0" w:line="240" w:lineRule="auto"/>
    </w:pPr>
    <w:rPr>
      <w:rFonts w:eastAsiaTheme="minorEastAsia"/>
    </w:rPr>
  </w:style>
  <w:style w:type="character" w:customStyle="1" w:styleId="NoSpacingChar">
    <w:name w:val="No Spacing Char"/>
    <w:basedOn w:val="DefaultParagraphFont"/>
    <w:link w:val="NoSpacing"/>
    <w:uiPriority w:val="1"/>
    <w:rsid w:val="00F83E15"/>
    <w:rPr>
      <w:rFonts w:eastAsiaTheme="minorEastAsia"/>
    </w:rPr>
  </w:style>
  <w:style w:type="character" w:styleId="Hyperlink">
    <w:name w:val="Hyperlink"/>
    <w:basedOn w:val="DefaultParagraphFont"/>
    <w:uiPriority w:val="99"/>
    <w:unhideWhenUsed/>
    <w:rsid w:val="00F83E15"/>
    <w:rPr>
      <w:color w:val="0563C1" w:themeColor="hyperlink"/>
      <w:u w:val="single"/>
    </w:rPr>
  </w:style>
  <w:style w:type="character" w:styleId="UnresolvedMention">
    <w:name w:val="Unresolved Mention"/>
    <w:basedOn w:val="DefaultParagraphFont"/>
    <w:uiPriority w:val="99"/>
    <w:semiHidden/>
    <w:unhideWhenUsed/>
    <w:rsid w:val="00F83E15"/>
    <w:rPr>
      <w:color w:val="605E5C"/>
      <w:shd w:val="clear" w:color="auto" w:fill="E1DFDD"/>
    </w:rPr>
  </w:style>
  <w:style w:type="paragraph" w:styleId="BalloonText">
    <w:name w:val="Balloon Text"/>
    <w:basedOn w:val="Normal"/>
    <w:link w:val="BalloonTextChar"/>
    <w:uiPriority w:val="99"/>
    <w:semiHidden/>
    <w:unhideWhenUsed/>
    <w:rsid w:val="002C0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8B4"/>
    <w:rPr>
      <w:rFonts w:ascii="Segoe UI" w:hAnsi="Segoe UI" w:cs="Segoe UI"/>
      <w:sz w:val="18"/>
      <w:szCs w:val="18"/>
    </w:rPr>
  </w:style>
  <w:style w:type="paragraph" w:styleId="ListParagraph">
    <w:name w:val="List Paragraph"/>
    <w:basedOn w:val="Normal"/>
    <w:uiPriority w:val="34"/>
    <w:qFormat/>
    <w:rsid w:val="005764CB"/>
    <w:pPr>
      <w:ind w:left="720"/>
      <w:contextualSpacing/>
    </w:pPr>
  </w:style>
  <w:style w:type="character" w:styleId="CommentReference">
    <w:name w:val="annotation reference"/>
    <w:basedOn w:val="DefaultParagraphFont"/>
    <w:uiPriority w:val="99"/>
    <w:semiHidden/>
    <w:unhideWhenUsed/>
    <w:rsid w:val="00603E52"/>
    <w:rPr>
      <w:sz w:val="16"/>
      <w:szCs w:val="16"/>
    </w:rPr>
  </w:style>
  <w:style w:type="paragraph" w:styleId="CommentText">
    <w:name w:val="annotation text"/>
    <w:basedOn w:val="Normal"/>
    <w:link w:val="CommentTextChar"/>
    <w:uiPriority w:val="99"/>
    <w:semiHidden/>
    <w:unhideWhenUsed/>
    <w:rsid w:val="00603E52"/>
    <w:pPr>
      <w:spacing w:line="240" w:lineRule="auto"/>
    </w:pPr>
    <w:rPr>
      <w:sz w:val="20"/>
      <w:szCs w:val="20"/>
    </w:rPr>
  </w:style>
  <w:style w:type="character" w:customStyle="1" w:styleId="CommentTextChar">
    <w:name w:val="Comment Text Char"/>
    <w:basedOn w:val="DefaultParagraphFont"/>
    <w:link w:val="CommentText"/>
    <w:uiPriority w:val="99"/>
    <w:semiHidden/>
    <w:rsid w:val="00603E52"/>
    <w:rPr>
      <w:sz w:val="20"/>
      <w:szCs w:val="20"/>
    </w:rPr>
  </w:style>
  <w:style w:type="paragraph" w:styleId="CommentSubject">
    <w:name w:val="annotation subject"/>
    <w:basedOn w:val="CommentText"/>
    <w:next w:val="CommentText"/>
    <w:link w:val="CommentSubjectChar"/>
    <w:uiPriority w:val="99"/>
    <w:semiHidden/>
    <w:unhideWhenUsed/>
    <w:rsid w:val="00603E52"/>
    <w:rPr>
      <w:b/>
      <w:bCs/>
    </w:rPr>
  </w:style>
  <w:style w:type="character" w:customStyle="1" w:styleId="CommentSubjectChar">
    <w:name w:val="Comment Subject Char"/>
    <w:basedOn w:val="CommentTextChar"/>
    <w:link w:val="CommentSubject"/>
    <w:uiPriority w:val="99"/>
    <w:semiHidden/>
    <w:rsid w:val="00603E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27debb9-e69a-41bf-bff2-dcf7974593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76DED27267054CB1F7B24D0CAC3B5A" ma:contentTypeVersion="12" ma:contentTypeDescription="Create a new document." ma:contentTypeScope="" ma:versionID="1eb85cf6d691bdc4183f7e0f9d92b250">
  <xsd:schema xmlns:xsd="http://www.w3.org/2001/XMLSchema" xmlns:xs="http://www.w3.org/2001/XMLSchema" xmlns:p="http://schemas.microsoft.com/office/2006/metadata/properties" xmlns:ns2="967de4fe-5c3d-4a38-86ce-0e821cf43b0d" xmlns:ns3="b27debb9-e69a-41bf-bff2-dcf797459308" targetNamespace="http://schemas.microsoft.com/office/2006/metadata/properties" ma:root="true" ma:fieldsID="8894b1861faea8b12e139a263ab209ad" ns2:_="" ns3:_="">
    <xsd:import namespace="967de4fe-5c3d-4a38-86ce-0e821cf43b0d"/>
    <xsd:import namespace="b27debb9-e69a-41bf-bff2-dcf7974593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_Flow_SignoffStatus"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de4fe-5c3d-4a38-86ce-0e821cf43b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7debb9-e69a-41bf-bff2-dcf7974593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_Flow_SignoffStatus" ma:index="14" nillable="true" ma:displayName="Sign-off status" ma:internalName="_x0024_Resources_x003a_core_x002c_Signoff_Status_x003b_">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7730D-FE88-437D-B1E9-AA53DC24C13E}">
  <ds:schemaRefs>
    <ds:schemaRef ds:uri="http://schemas.microsoft.com/sharepoint/v3/contenttype/forms"/>
  </ds:schemaRefs>
</ds:datastoreItem>
</file>

<file path=customXml/itemProps2.xml><?xml version="1.0" encoding="utf-8"?>
<ds:datastoreItem xmlns:ds="http://schemas.openxmlformats.org/officeDocument/2006/customXml" ds:itemID="{0D727D85-A024-4BCF-85D1-CA7A7DBF6E73}">
  <ds:schemaRefs>
    <ds:schemaRef ds:uri="http://schemas.microsoft.com/office/2006/metadata/properties"/>
    <ds:schemaRef ds:uri="http://schemas.microsoft.com/office/infopath/2007/PartnerControls"/>
    <ds:schemaRef ds:uri="b27debb9-e69a-41bf-bff2-dcf797459308"/>
  </ds:schemaRefs>
</ds:datastoreItem>
</file>

<file path=customXml/itemProps3.xml><?xml version="1.0" encoding="utf-8"?>
<ds:datastoreItem xmlns:ds="http://schemas.openxmlformats.org/officeDocument/2006/customXml" ds:itemID="{4903DB4E-4550-4354-B3BE-BD4D06D2B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de4fe-5c3d-4a38-86ce-0e821cf43b0d"/>
    <ds:schemaRef ds:uri="b27debb9-e69a-41bf-bff2-dcf797459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Jacquice Davis</dc:creator>
  <cp:keywords/>
  <dc:description/>
  <cp:lastModifiedBy>Christopher Scirpoli</cp:lastModifiedBy>
  <cp:revision>126</cp:revision>
  <cp:lastPrinted>2020-12-15T03:02:00Z</cp:lastPrinted>
  <dcterms:created xsi:type="dcterms:W3CDTF">2020-12-19T14:04:00Z</dcterms:created>
  <dcterms:modified xsi:type="dcterms:W3CDTF">2021-02-18T20:54:00Z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0x0101001B76DED27267054CB1F7B24D0CAC3B5A</vt:lpwstr>
  </property>
</Properties>
</file>